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787F" w:rsidRDefault="004D787F">
      <w:r>
        <w:t>DOPPASTORAL</w:t>
      </w:r>
      <w:r w:rsidR="00015546">
        <w:t xml:space="preserve"> </w:t>
      </w:r>
      <w:r w:rsidR="003D38DB">
        <w:tab/>
        <w:t xml:space="preserve">Version </w:t>
      </w:r>
      <w:r w:rsidR="007944FA">
        <w:t>2020-11-19</w:t>
      </w:r>
    </w:p>
    <w:p w:rsidR="00015546" w:rsidRDefault="004D787F">
      <w:r w:rsidRPr="0038205F">
        <w:rPr>
          <w:b/>
        </w:rPr>
        <w:t>INLEDNING</w:t>
      </w:r>
      <w:r w:rsidR="00015546" w:rsidRPr="0038205F">
        <w:rPr>
          <w:b/>
        </w:rPr>
        <w:t xml:space="preserve"> OCH SYFTE</w:t>
      </w:r>
    </w:p>
    <w:p w:rsidR="00015546" w:rsidRPr="0038205F" w:rsidRDefault="00015546">
      <w:r w:rsidRPr="0038205F">
        <w:rPr>
          <w:b/>
        </w:rPr>
        <w:t>TEOLOGI</w:t>
      </w:r>
      <w:r w:rsidR="0038205F">
        <w:rPr>
          <w:b/>
        </w:rPr>
        <w:tab/>
        <w:t>VARFÖR DÖPER VI?</w:t>
      </w:r>
      <w:r w:rsidRPr="0038205F">
        <w:tab/>
      </w:r>
    </w:p>
    <w:p w:rsidR="0082047E" w:rsidRPr="003D38DB" w:rsidRDefault="0082047E">
      <w:r w:rsidRPr="003D38DB">
        <w:t xml:space="preserve">I dopbefallningen </w:t>
      </w:r>
      <w:r w:rsidR="000A0E0E" w:rsidRPr="003D38DB">
        <w:t xml:space="preserve">säger Jesus till lärjungarna att gå ut och </w:t>
      </w:r>
      <w:r w:rsidRPr="003D38DB">
        <w:t>döpa i Faderns, Sonens och den helige Andens namn. I samband med detta ger Jesus också löftet ”jag är med er alla dagar till tidens slut”</w:t>
      </w:r>
      <w:r w:rsidR="000A0E0E" w:rsidRPr="003D38DB">
        <w:t>. Matt 28:18-20.</w:t>
      </w:r>
    </w:p>
    <w:p w:rsidR="00D55040" w:rsidRPr="003D38DB" w:rsidRDefault="00D55040">
      <w:r w:rsidRPr="003D38DB">
        <w:t>Vi tror att dopbefallningen gäller fortfarande, inte enbart de första lärj</w:t>
      </w:r>
      <w:r w:rsidR="003D38DB">
        <w:t>ungarna utan för alla.</w:t>
      </w:r>
    </w:p>
    <w:p w:rsidR="00D55040" w:rsidRPr="003D38DB" w:rsidRDefault="000A0E0E">
      <w:r w:rsidRPr="003D38DB">
        <w:t>Dopet är en del av den kristna traditionen</w:t>
      </w:r>
      <w:r w:rsidR="00D55040" w:rsidRPr="003D38DB">
        <w:t xml:space="preserve"> och därigenom det kristna livet.</w:t>
      </w:r>
    </w:p>
    <w:p w:rsidR="00D55040" w:rsidRDefault="00D55040" w:rsidP="0082047E">
      <w:pPr>
        <w:tabs>
          <w:tab w:val="left" w:pos="2805"/>
        </w:tabs>
      </w:pPr>
      <w:r w:rsidRPr="003D38DB">
        <w:t>Alla döpta hör samman och ger oss en tillhörighet, syskonskap och gemenskap med andra kristna i hela världen. Dop</w:t>
      </w:r>
      <w:r w:rsidR="003D38DB" w:rsidRPr="003D38DB">
        <w:t>et är en hjälp att minnas löfte</w:t>
      </w:r>
      <w:r w:rsidRPr="003D38DB">
        <w:t xml:space="preserve"> om Jesu närvaro och kärlek oavsett hur jag lever mitt liv. För Gud älskar människan och ger oss alla uppgift att dela kärleken vidare.</w:t>
      </w:r>
    </w:p>
    <w:p w:rsidR="005E2521" w:rsidRDefault="00D55040" w:rsidP="003D38DB">
      <w:pPr>
        <w:tabs>
          <w:tab w:val="left" w:pos="2805"/>
        </w:tabs>
      </w:pPr>
      <w:r>
        <w:t>Utifrån dessa tankar finns det många olika sätt att</w:t>
      </w:r>
      <w:r w:rsidR="007A0F93">
        <w:t xml:space="preserve"> berätta om dop och kristen tro och när vi har dopundervisning och dopgudstjänst utgår vi från ovanstående grund. Vi har en grund för dopet och det är Jesu uppmaning. </w:t>
      </w:r>
    </w:p>
    <w:p w:rsidR="003D38DB" w:rsidRDefault="003D38DB" w:rsidP="003D38DB">
      <w:pPr>
        <w:tabs>
          <w:tab w:val="left" w:pos="2805"/>
        </w:tabs>
      </w:pPr>
    </w:p>
    <w:p w:rsidR="005E2521" w:rsidRPr="005E2521" w:rsidRDefault="005E2521">
      <w:pPr>
        <w:rPr>
          <w:b/>
        </w:rPr>
      </w:pPr>
      <w:r w:rsidRPr="005E2521">
        <w:rPr>
          <w:b/>
        </w:rPr>
        <w:t>Dopsamtal</w:t>
      </w:r>
    </w:p>
    <w:p w:rsidR="005E2521" w:rsidRDefault="005E2521">
      <w:r>
        <w:t>Vissa saker ska tas upp:</w:t>
      </w:r>
    </w:p>
    <w:p w:rsidR="005E2521" w:rsidRDefault="005E2521">
      <w:r>
        <w:t>Doppastoralens beskrivning av teologin.</w:t>
      </w:r>
    </w:p>
    <w:p w:rsidR="005E2521" w:rsidRDefault="005E2521">
      <w:r>
        <w:t>Genomgång och förklaringar av gudstjänsten.</w:t>
      </w:r>
    </w:p>
    <w:p w:rsidR="00CB5EE1" w:rsidRDefault="005E2521">
      <w:r>
        <w:t xml:space="preserve">Om det är barn 2 </w:t>
      </w:r>
      <w:r w:rsidR="007944FA">
        <w:t>etc.</w:t>
      </w:r>
      <w:r>
        <w:t xml:space="preserve"> berätta igen!</w:t>
      </w:r>
    </w:p>
    <w:p w:rsidR="005E2521" w:rsidRDefault="005E2521">
      <w:r>
        <w:t xml:space="preserve">Berätta om möjligheten att </w:t>
      </w:r>
      <w:r w:rsidR="00BE204F">
        <w:t>vara med och bidra till dopgudstjänsten.</w:t>
      </w:r>
    </w:p>
    <w:p w:rsidR="00CB5EE1" w:rsidRPr="003D38DB" w:rsidRDefault="00CB5EE1" w:rsidP="00CB5EE1">
      <w:r w:rsidRPr="003D38DB">
        <w:t>Dopsamtal är just samtal, att tala tillsammans om dopet och kristen tro. Varje dopsamtal är i någon mening unikt, dels för att det är olika människor med i samtalet varje gång och dels därför att alla uttrycker sin tro och funderingar kring den på olika sätt. Därför kan vi aldrig fullt ut styra vart samtalet leder. Men några gemensamma utgångspunkter bör alla våra dopsamtal ha. Detta gäller såväl barndop som vuxendop. Utifrån dessa utgångspunkter kan samtalet ta olika vägar men vi vill vara lyhörda för att möta och uppmärksamma det som väcks hos dem vi samtalar med när vi säger det vi säger.</w:t>
      </w:r>
    </w:p>
    <w:p w:rsidR="00CB5EE1" w:rsidRPr="00CB5EE1" w:rsidRDefault="00CB5EE1" w:rsidP="00CB5EE1">
      <w:pPr>
        <w:rPr>
          <w:highlight w:val="yellow"/>
        </w:rPr>
      </w:pPr>
      <w:r w:rsidRPr="003D38DB">
        <w:t>Vi utgår från själva dopordningen i samtalet. Detta är naturligt då vi vill gå igenom ordningen. Gå igenom ordningen gör vi med alla i varje dopsamtal, oavsett om vi möter familjer som har döpt ett eller flera barn tidigare.</w:t>
      </w:r>
    </w:p>
    <w:p w:rsidR="00CB5EE1" w:rsidRDefault="00CB5EE1" w:rsidP="00CB5EE1">
      <w:r w:rsidRPr="003D38DB">
        <w:t>Vi stannar särskilt upp vid vissa moment, som mer eller mindre tydligt anknyter till vår dopteologi. Det är självklart så att de enskilda dopsamtalen ska och kommer att innehålla diskussioner om andra moment och även om andra ingångar till nedanstående moment. Men nedanstående är ett förslag på tre punkter som vi alltid tar upp på samma sätt i alla dopsamtal. För att kunna bestämma exakt hur formuleringarna ska vara så måste vi kanske också bestämma oss för vilket alternativ vi har i Asarums pastorat på en del moment?</w:t>
      </w:r>
    </w:p>
    <w:p w:rsidR="003D38DB" w:rsidRPr="003D38DB" w:rsidRDefault="003D38DB" w:rsidP="00CB5EE1"/>
    <w:p w:rsidR="00CB5EE1" w:rsidRDefault="00CB5EE1" w:rsidP="00CB5EE1">
      <w:pPr>
        <w:pStyle w:val="Liststycke"/>
        <w:numPr>
          <w:ilvl w:val="0"/>
          <w:numId w:val="1"/>
        </w:numPr>
        <w:rPr>
          <w:b/>
        </w:rPr>
      </w:pPr>
      <w:r w:rsidRPr="003D38DB">
        <w:rPr>
          <w:b/>
        </w:rPr>
        <w:lastRenderedPageBreak/>
        <w:t>Inledningsorden</w:t>
      </w:r>
    </w:p>
    <w:p w:rsidR="003D38DB" w:rsidRPr="003D38DB" w:rsidRDefault="003D38DB" w:rsidP="003D38DB">
      <w:r w:rsidRPr="003D38DB">
        <w:t>Vi använder det första eller det sista i han</w:t>
      </w:r>
      <w:r w:rsidR="007944FA">
        <w:t>d</w:t>
      </w:r>
      <w:r w:rsidRPr="003D38DB">
        <w:t>boken.</w:t>
      </w:r>
    </w:p>
    <w:p w:rsidR="00CB5EE1" w:rsidRPr="003D38DB" w:rsidRDefault="00CB5EE1" w:rsidP="00CB5EE1">
      <w:r w:rsidRPr="003D38DB">
        <w:t>Detta för att de nämner just den gemenskap som vi själva knyter an till i vår dopteologi. Det som ska framföras i varje dopsamtal är:</w:t>
      </w:r>
    </w:p>
    <w:p w:rsidR="00CB5EE1" w:rsidRDefault="00CB5EE1" w:rsidP="00CB5EE1">
      <w:r w:rsidRPr="003D38DB">
        <w:t>”Alla döpta hör samman och ger oss en tillhörighet, syskonskap och gemenskap med andra kristna i hela världen. Dopet är en hjälp att minnas löften om Jesu närvaro och kärlek oavsett hur jag lever mitt liv. För Gud älskar människan och ger oss alla uppgift att dela kärleken vidare.”</w:t>
      </w:r>
    </w:p>
    <w:p w:rsidR="00FB3B4C" w:rsidRPr="00CB5EE1" w:rsidRDefault="00FB3B4C" w:rsidP="00CB5EE1">
      <w:pPr>
        <w:rPr>
          <w:highlight w:val="yellow"/>
        </w:rPr>
      </w:pPr>
    </w:p>
    <w:p w:rsidR="00CB5EE1" w:rsidRPr="00A75490" w:rsidRDefault="00CB5EE1" w:rsidP="00CB5EE1">
      <w:pPr>
        <w:pStyle w:val="Liststycke"/>
        <w:numPr>
          <w:ilvl w:val="0"/>
          <w:numId w:val="1"/>
        </w:numPr>
        <w:rPr>
          <w:b/>
        </w:rPr>
      </w:pPr>
      <w:r w:rsidRPr="00A75490">
        <w:rPr>
          <w:b/>
        </w:rPr>
        <w:t>Tackbönen</w:t>
      </w:r>
    </w:p>
    <w:p w:rsidR="00A75490" w:rsidRDefault="003D38DB" w:rsidP="00CB5EE1">
      <w:r w:rsidRPr="00A75490">
        <w:t>Tackbönen ska ingå oavsett om</w:t>
      </w:r>
      <w:r w:rsidR="00A75490" w:rsidRPr="00A75490">
        <w:t xml:space="preserve"> det är dop för barn, ungdomar</w:t>
      </w:r>
      <w:r w:rsidRPr="00A75490">
        <w:t xml:space="preserve"> eller vuxna</w:t>
      </w:r>
      <w:r w:rsidR="00A75490" w:rsidRPr="00A75490">
        <w:t>.</w:t>
      </w:r>
      <w:r w:rsidR="00A75490">
        <w:t xml:space="preserve"> Passande alternativ finns i handboken.</w:t>
      </w:r>
    </w:p>
    <w:p w:rsidR="00CB5EE1" w:rsidRDefault="00CB5EE1" w:rsidP="00CB5EE1">
      <w:r w:rsidRPr="00A75490">
        <w:t xml:space="preserve">”Här nämns alla barnets/dina namn. Vi är viktiga som enskilda personer. Gud ser varje enskild människa och just i den här gudstjänsten får vi en påminnelse om att detta även gäller detta barn/dig. Och det gör Gud alla dagar under hela livet. Det är också så att ritualen rymmer mycket tacksamhet för att detta barn/du finns till. Därför tackar vi Gud för livet och ber för att kunna stödja och hjälpa </w:t>
      </w:r>
      <w:r w:rsidR="00960EB0" w:rsidRPr="00A75490">
        <w:t xml:space="preserve">barnet/dig </w:t>
      </w:r>
      <w:r w:rsidRPr="00A75490">
        <w:t>genom allt som händer genom livet.</w:t>
      </w:r>
    </w:p>
    <w:p w:rsidR="00FB3B4C" w:rsidRPr="00A75490" w:rsidRDefault="00FB3B4C" w:rsidP="00CB5EE1"/>
    <w:p w:rsidR="00CB5EE1" w:rsidRPr="00A75490" w:rsidRDefault="00CB5EE1" w:rsidP="00CB5EE1">
      <w:pPr>
        <w:pStyle w:val="Liststycke"/>
        <w:numPr>
          <w:ilvl w:val="0"/>
          <w:numId w:val="1"/>
        </w:numPr>
        <w:rPr>
          <w:b/>
        </w:rPr>
      </w:pPr>
      <w:r w:rsidRPr="00A75490">
        <w:rPr>
          <w:b/>
        </w:rPr>
        <w:t>Evangeliet om Jesus och barnen och befrielsebönen</w:t>
      </w:r>
    </w:p>
    <w:p w:rsidR="00A75490" w:rsidRDefault="00A75490" w:rsidP="00CB5EE1">
      <w:pPr>
        <w:rPr>
          <w:highlight w:val="yellow"/>
        </w:rPr>
      </w:pPr>
      <w:r w:rsidRPr="00A75490">
        <w:t>Vid dop av barn och ungdomar använder vi evangeliet om Jesus och barnen. Vid dop av vuxna väljer vi tillsammans med dopkandidaten någon av handbokens bibeltexter vid dopgudstjänst.</w:t>
      </w:r>
    </w:p>
    <w:p w:rsidR="00A75490" w:rsidRPr="00A75490" w:rsidRDefault="00A75490" w:rsidP="00CB5EE1">
      <w:r w:rsidRPr="00A75490">
        <w:t>Befrielsebönen vi använder är andra alternativet i handboken.</w:t>
      </w:r>
    </w:p>
    <w:p w:rsidR="00CB5EE1" w:rsidRDefault="00CB5EE1" w:rsidP="00CB5EE1">
      <w:r w:rsidRPr="00A75490">
        <w:t>”Barnen har alltid en plats i kyrkans gemenskap. I dopgudstjänsten vill vi göra det som Jesus säger, låta barnen komma fram och inte hindra dem. Och Guds barn är vi hela livet, inte bara när vi rent fysiskt är barn. Vi är alltid Guds barn, oavsett hur gamla vi blir. Det betyder att vi alltid är älskade av Gud och vi tror att vi har ett uppdrag från Gud att sprida den kä</w:t>
      </w:r>
      <w:r w:rsidR="00290BA0" w:rsidRPr="00A75490">
        <w:t xml:space="preserve">rleken vidare i världen och till </w:t>
      </w:r>
      <w:r w:rsidRPr="00A75490">
        <w:t>varandra. Och vi kommer att göra precis som Jesus gjorde, nämligen lägga händerna på dopbarnet/dig och be om Guds välsignelse och hjälp. Det är det som kallas befrielsebönen”</w:t>
      </w:r>
    </w:p>
    <w:p w:rsidR="00CB5EE1" w:rsidRDefault="00CB5EE1"/>
    <w:p w:rsidR="005E2521" w:rsidRPr="005E2521" w:rsidRDefault="005E2521">
      <w:pPr>
        <w:rPr>
          <w:b/>
        </w:rPr>
      </w:pPr>
      <w:r w:rsidRPr="005E2521">
        <w:rPr>
          <w:b/>
        </w:rPr>
        <w:t>Dopgudstjänst</w:t>
      </w:r>
    </w:p>
    <w:p w:rsidR="005E2521" w:rsidRDefault="005E2521">
      <w:r>
        <w:t>Församlingarna i Asarums pastorat erbjuder dop på lördag, på söndagar i gudst</w:t>
      </w:r>
      <w:r w:rsidR="00BE204F">
        <w:t>j</w:t>
      </w:r>
      <w:r>
        <w:t xml:space="preserve">änsten och i hemmet. </w:t>
      </w:r>
    </w:p>
    <w:p w:rsidR="00BE204F" w:rsidRDefault="00BE204F">
      <w:r>
        <w:t xml:space="preserve">Vi vill sträva efter ett barn per dopgudstjänst. </w:t>
      </w:r>
    </w:p>
    <w:p w:rsidR="00BE204F" w:rsidRDefault="00BE204F" w:rsidP="00BE204F">
      <w:r>
        <w:t>På lördagar kan det max 2 barn i dopgudstjänsten. På söndagen endast 1 barn i gudstjänsten.</w:t>
      </w:r>
    </w:p>
    <w:p w:rsidR="00A75490" w:rsidRDefault="00A75490" w:rsidP="00BE204F">
      <w:r>
        <w:t>På söndagens gudstjänst ber vi för och nämner veckans döpta vid namn i förbönen.</w:t>
      </w:r>
    </w:p>
    <w:p w:rsidR="00B81635" w:rsidRPr="00A75490" w:rsidRDefault="00A75490">
      <w:r>
        <w:t xml:space="preserve">Dopvärdarna, och </w:t>
      </w:r>
      <w:r w:rsidR="00B81635" w:rsidRPr="00A75490">
        <w:t>kyrkvärdarna, är en bra ingång till att visa på den större anknytningen till församlingen. Vi får inte glömma bort att i gudstjänsten förklara varför de är där.</w:t>
      </w:r>
      <w:r>
        <w:t xml:space="preserve"> </w:t>
      </w:r>
      <w:r w:rsidR="00B81635" w:rsidRPr="00A75490">
        <w:t>Samtidigt är det viktigt att komma ihåg att dopföljena själva ofta känner en samhörighet med församlingen genom att de faktiskt döper i den aktuella kyrkan.</w:t>
      </w:r>
    </w:p>
    <w:p w:rsidR="00015546" w:rsidRDefault="00A75490">
      <w:r w:rsidRPr="00A75490">
        <w:t xml:space="preserve">Vi </w:t>
      </w:r>
      <w:r w:rsidR="00FB3B4C">
        <w:t>uppmuntrar till delaktighet i dopgudstjänst genom att erbjuda dopföljet att bära korset, vattenkannan, hälla upp vatten,</w:t>
      </w:r>
      <w:r w:rsidR="007944FA">
        <w:t xml:space="preserve"> be befrielsebönen, läsa text m.m.</w:t>
      </w:r>
      <w:bookmarkStart w:id="0" w:name="_GoBack"/>
      <w:bookmarkEnd w:id="0"/>
    </w:p>
    <w:p w:rsidR="00FB3B4C" w:rsidRDefault="00FB3B4C"/>
    <w:p w:rsidR="00FB3B4C" w:rsidRDefault="00015546">
      <w:r w:rsidRPr="00B0673F">
        <w:rPr>
          <w:b/>
        </w:rPr>
        <w:t>DOP FÖR ALLA</w:t>
      </w:r>
      <w:r w:rsidRPr="00B0673F">
        <w:rPr>
          <w:b/>
        </w:rPr>
        <w:tab/>
      </w:r>
      <w:r>
        <w:tab/>
      </w:r>
    </w:p>
    <w:p w:rsidR="00271432" w:rsidRDefault="00B0673F" w:rsidP="007944FA">
      <w:pPr>
        <w:spacing w:after="0"/>
      </w:pPr>
      <w:r>
        <w:t>Inb</w:t>
      </w:r>
      <w:r w:rsidR="007944FA">
        <w:t>judan är justerad</w:t>
      </w:r>
      <w:r>
        <w:t xml:space="preserve"> för att inte betona kärnfamilj utan allas välkom</w:t>
      </w:r>
      <w:r w:rsidR="00FB3B4C">
        <w:t>n</w:t>
      </w:r>
      <w:r>
        <w:t>ande.</w:t>
      </w:r>
    </w:p>
    <w:p w:rsidR="007944FA" w:rsidRDefault="007944FA"/>
    <w:p w:rsidR="00FB3B4C" w:rsidRPr="007944FA" w:rsidRDefault="007944FA" w:rsidP="007944FA">
      <w:pPr>
        <w:spacing w:after="0"/>
      </w:pPr>
      <w:r>
        <w:t>KOMMUNIKATIONSPLAN- Se årscykel</w:t>
      </w:r>
      <w:r w:rsidR="00271432" w:rsidRPr="007944FA">
        <w:tab/>
      </w:r>
    </w:p>
    <w:p w:rsidR="00FB3B4C" w:rsidRPr="007944FA" w:rsidRDefault="00271432">
      <w:r w:rsidRPr="007944FA">
        <w:t>Intern/Extern kommunikation</w:t>
      </w:r>
      <w:r w:rsidRPr="007944FA">
        <w:tab/>
      </w:r>
      <w:r w:rsidRPr="007944FA">
        <w:tab/>
      </w:r>
      <w:r w:rsidRPr="007944FA">
        <w:tab/>
      </w:r>
    </w:p>
    <w:p w:rsidR="00FB3B4C" w:rsidRPr="007944FA" w:rsidRDefault="00FB3B4C">
      <w:r w:rsidRPr="007944FA">
        <w:t>Rutin för medarbetare</w:t>
      </w:r>
      <w:r w:rsidR="00271432" w:rsidRPr="007944FA">
        <w:tab/>
      </w:r>
      <w:r w:rsidR="00271432" w:rsidRPr="007944FA">
        <w:tab/>
      </w:r>
      <w:r w:rsidR="00271432" w:rsidRPr="007944FA">
        <w:tab/>
      </w:r>
    </w:p>
    <w:p w:rsidR="00FB3B4C" w:rsidRDefault="007944FA">
      <w:r>
        <w:t>Så här gör vi dop känt, detta kommunicerar vi</w:t>
      </w:r>
      <w:r w:rsidR="00E2324C" w:rsidRPr="007944FA">
        <w:tab/>
      </w:r>
      <w:r w:rsidR="00E2324C" w:rsidRPr="007944FA">
        <w:tab/>
      </w:r>
      <w:r w:rsidR="00E2324C" w:rsidRPr="007944FA">
        <w:tab/>
      </w:r>
    </w:p>
    <w:p w:rsidR="007944FA" w:rsidRPr="007944FA" w:rsidRDefault="007944FA"/>
    <w:p w:rsidR="00271432" w:rsidRPr="00FB3B4C" w:rsidRDefault="00FB3B4C">
      <w:pPr>
        <w:rPr>
          <w:b/>
        </w:rPr>
      </w:pPr>
      <w:r w:rsidRPr="00FB3B4C">
        <w:rPr>
          <w:b/>
        </w:rPr>
        <w:t>KOMPETENSUTVECKLING</w:t>
      </w:r>
    </w:p>
    <w:p w:rsidR="00FA31E1" w:rsidRPr="00FB3B4C" w:rsidRDefault="00FA31E1">
      <w:r w:rsidRPr="00FB3B4C">
        <w:t>Dop och dopuppföljning inkluderar medarbetare från flera yrkesgrupper, i första hand pedagoger, präster, musiker, vaktmästare, administrativ personal. Behovet av kompetensutvecklingen ser därför olika beroende uppgift.</w:t>
      </w:r>
    </w:p>
    <w:p w:rsidR="00FA31E1" w:rsidRPr="00FB3B4C" w:rsidRDefault="00FA31E1">
      <w:r w:rsidRPr="00FB3B4C">
        <w:t xml:space="preserve">Hela församlingsarbetslaget behöver grundläggande kunskap om dop/dopuppföljningen i Asarums pastorat. </w:t>
      </w:r>
    </w:p>
    <w:p w:rsidR="00FB3B4C" w:rsidRDefault="00FB3B4C" w:rsidP="007944FA">
      <w:pPr>
        <w:spacing w:after="0"/>
        <w:rPr>
          <w:b/>
        </w:rPr>
      </w:pPr>
    </w:p>
    <w:p w:rsidR="00271432" w:rsidRPr="00FB3B4C" w:rsidRDefault="00E2324C">
      <w:pPr>
        <w:rPr>
          <w:b/>
        </w:rPr>
      </w:pPr>
      <w:r w:rsidRPr="00FB3B4C">
        <w:rPr>
          <w:b/>
        </w:rPr>
        <w:t>VERKSAMHETSPLAN OCH BUDGET</w:t>
      </w:r>
      <w:r w:rsidR="00FB3B4C">
        <w:rPr>
          <w:b/>
        </w:rPr>
        <w:t xml:space="preserve"> </w:t>
      </w:r>
    </w:p>
    <w:p w:rsidR="00E2324C" w:rsidRPr="00FB3B4C" w:rsidRDefault="00E2324C">
      <w:r w:rsidRPr="00FB3B4C">
        <w:t>Dop och dopuppföljning är viktiga delar av den grundläggande uppgiften; gudstjänst, undervisning, diakoni och mission.</w:t>
      </w:r>
    </w:p>
    <w:p w:rsidR="00E2324C" w:rsidRPr="00FB3B4C" w:rsidRDefault="00E2324C">
      <w:r w:rsidRPr="00FB3B4C">
        <w:t>Hitintills har Asarums pastorat skrivit om dopet under rubrikerna gudstjänst och undervisning utifrån att vi firar dopgudstjänster och att vi bedriver undervisning där dopuppföljningen fram till konfirmationen är en naturlig del. Trots att vi anser att dopet inte är en ”barnsak” så är det i huvudsak kring barn och ungdomar vårt doparbete sker.</w:t>
      </w:r>
    </w:p>
    <w:p w:rsidR="00E2324C" w:rsidRPr="00FB3B4C" w:rsidRDefault="00E2324C">
      <w:r w:rsidRPr="00FB3B4C">
        <w:t>Dopets betydelse diakonalt är ett område som Asarums pastorat ännu inte har utforskat.</w:t>
      </w:r>
    </w:p>
    <w:p w:rsidR="00FB3B4C" w:rsidRPr="00FB3B4C" w:rsidRDefault="00E2324C">
      <w:r w:rsidRPr="00FB3B4C">
        <w:t xml:space="preserve">Dopets relation till mission är på ett sätt självklar ”Gå ut och gör alla folk till lärjungar…” </w:t>
      </w:r>
    </w:p>
    <w:p w:rsidR="00E2324C" w:rsidRPr="00FB3B4C" w:rsidRDefault="00E2324C">
      <w:r w:rsidRPr="00FB3B4C">
        <w:t>För att genomföra doppastoralen krävs det att i varje budget avsätts medel för:</w:t>
      </w:r>
    </w:p>
    <w:p w:rsidR="00E2324C" w:rsidRPr="00FB3B4C" w:rsidRDefault="00E2324C">
      <w:r w:rsidRPr="00FB3B4C">
        <w:t>Dopgudstjänster</w:t>
      </w:r>
    </w:p>
    <w:p w:rsidR="00E2324C" w:rsidRPr="00FB3B4C" w:rsidRDefault="00E2324C">
      <w:r w:rsidRPr="00FB3B4C">
        <w:t>Dopljus med ljusstake</w:t>
      </w:r>
    </w:p>
    <w:p w:rsidR="00E2324C" w:rsidRPr="00FB3B4C" w:rsidRDefault="00E2324C">
      <w:r w:rsidRPr="00FB3B4C">
        <w:t>Dopvärdsutbildning</w:t>
      </w:r>
    </w:p>
    <w:p w:rsidR="00E2324C" w:rsidRPr="00FB3B4C" w:rsidRDefault="007944FA">
      <w:r w:rsidRPr="00FB3B4C">
        <w:t>Dopuppföljning år</w:t>
      </w:r>
      <w:r w:rsidR="00FA31E1" w:rsidRPr="00FB3B4C">
        <w:t xml:space="preserve"> 1, år 3 år, år 5 </w:t>
      </w:r>
    </w:p>
    <w:p w:rsidR="00FA31E1" w:rsidRPr="00FB3B4C" w:rsidRDefault="00FA31E1">
      <w:r w:rsidRPr="00FB3B4C">
        <w:t>Andaktsbok</w:t>
      </w:r>
    </w:p>
    <w:p w:rsidR="00FA31E1" w:rsidRDefault="00FA31E1">
      <w:r w:rsidRPr="00FB3B4C">
        <w:t>Frälsarkrans</w:t>
      </w:r>
    </w:p>
    <w:p w:rsidR="00FA31E1" w:rsidRDefault="00FB3B4C">
      <w:r>
        <w:t>Bibel/psalmbok</w:t>
      </w:r>
    </w:p>
    <w:p w:rsidR="0066542C" w:rsidRDefault="00271432" w:rsidP="0066542C">
      <w:r w:rsidRPr="00B0673F">
        <w:rPr>
          <w:b/>
        </w:rPr>
        <w:t>DOPUPPFÖ</w:t>
      </w:r>
      <w:r w:rsidR="00B0673F">
        <w:rPr>
          <w:b/>
        </w:rPr>
        <w:t>L</w:t>
      </w:r>
      <w:r w:rsidRPr="00B0673F">
        <w:rPr>
          <w:b/>
        </w:rPr>
        <w:t>JNING</w:t>
      </w:r>
      <w:r w:rsidR="00FB3B4C">
        <w:rPr>
          <w:b/>
        </w:rPr>
        <w:t xml:space="preserve"> </w:t>
      </w:r>
    </w:p>
    <w:p w:rsidR="0066542C" w:rsidRDefault="0066542C" w:rsidP="0066542C">
      <w:r>
        <w:t>Planen för dopuppföljning</w:t>
      </w:r>
      <w:r w:rsidR="005E14E7">
        <w:t xml:space="preserve"> de första fem åren efter dopet</w:t>
      </w:r>
      <w:r>
        <w:t>:</w:t>
      </w:r>
    </w:p>
    <w:p w:rsidR="0066542C" w:rsidRDefault="0066542C" w:rsidP="0066542C">
      <w:r>
        <w:t xml:space="preserve">År 0: Dop. Man får ett dopljus </w:t>
      </w:r>
    </w:p>
    <w:p w:rsidR="0066542C" w:rsidRDefault="0066542C" w:rsidP="0066542C">
      <w:r>
        <w:t>År 1: Andaktsbok</w:t>
      </w:r>
    </w:p>
    <w:p w:rsidR="0066542C" w:rsidRDefault="0066542C" w:rsidP="0066542C">
      <w:r>
        <w:t>År 3: Bibel för barn, eller psalmbok om man är äldre</w:t>
      </w:r>
    </w:p>
    <w:p w:rsidR="0066542C" w:rsidRDefault="0066542C" w:rsidP="0066542C">
      <w:r>
        <w:t>År 5: Frälsarkrans</w:t>
      </w:r>
    </w:p>
    <w:p w:rsidR="005E14E7" w:rsidRDefault="007944FA" w:rsidP="0066542C">
      <w:r>
        <w:t>I</w:t>
      </w:r>
      <w:r w:rsidR="0066542C">
        <w:t xml:space="preserve"> församlingen bjuds</w:t>
      </w:r>
      <w:r w:rsidR="005E14E7">
        <w:t xml:space="preserve"> in till en gudstjänst per år i Asarum och en i Ringamåla</w:t>
      </w:r>
      <w:r w:rsidR="0056274E">
        <w:t xml:space="preserve"> </w:t>
      </w:r>
      <w:r w:rsidR="005E14E7">
        <w:t>för att fira dopet. Det är under denna gudstjänst vi delar ut ovanstående gåvor.</w:t>
      </w:r>
    </w:p>
    <w:p w:rsidR="009E1A34" w:rsidRDefault="009E1A34"/>
    <w:p w:rsidR="009E1A34" w:rsidRPr="005E14E7" w:rsidRDefault="009E1A34">
      <w:pPr>
        <w:rPr>
          <w:b/>
        </w:rPr>
      </w:pPr>
      <w:r w:rsidRPr="005E14E7">
        <w:rPr>
          <w:b/>
        </w:rPr>
        <w:t>BARNKONSEKVEN</w:t>
      </w:r>
      <w:r w:rsidR="00B0673F" w:rsidRPr="005E14E7">
        <w:rPr>
          <w:b/>
        </w:rPr>
        <w:t>S</w:t>
      </w:r>
      <w:r w:rsidRPr="005E14E7">
        <w:rPr>
          <w:b/>
        </w:rPr>
        <w:t>ANALYS</w:t>
      </w:r>
      <w:r w:rsidR="005E14E7" w:rsidRPr="005E14E7">
        <w:rPr>
          <w:b/>
        </w:rPr>
        <w:t xml:space="preserve"> </w:t>
      </w:r>
    </w:p>
    <w:p w:rsidR="009E1A34" w:rsidRPr="005E14E7" w:rsidRDefault="00537CAD">
      <w:r w:rsidRPr="005E14E7">
        <w:t xml:space="preserve">Vi vill att barnen ska ha en självklar plats i dopgudstjänsterna. Förutom dopbarn finns ofta andra barn med i gudstjänster, såväl syskon som släktingar och vänner. Det är viktigt att de tas på allvar i gudstjänsten och att så många moment som möjligt utformas så barn kan förstå och vara delaktiga. Om det finns möjlighet ska även barnen vara involverade i planeringen av dopgudstjänsten och själva få ge uttryck för vad de vill och inte vill. </w:t>
      </w:r>
    </w:p>
    <w:p w:rsidR="00537CAD" w:rsidRPr="005E14E7" w:rsidRDefault="00537CAD">
      <w:r w:rsidRPr="005E14E7">
        <w:t>Vi vill i vårt tän</w:t>
      </w:r>
      <w:r w:rsidR="007944FA">
        <w:t>k utgå från FN:s barnkonvention</w:t>
      </w:r>
      <w:r w:rsidRPr="005E14E7">
        <w:t>. De fyra grundprinciperna i den är följande artiklar:</w:t>
      </w:r>
    </w:p>
    <w:p w:rsidR="00537CAD" w:rsidRPr="005E14E7" w:rsidRDefault="00537CAD" w:rsidP="00537CAD">
      <w:r w:rsidRPr="005E14E7">
        <w:t>Artikel 2 slår fast att alla barn har samma rättigheter och lika värde. Ingen får diskrimineras. Barnkonventionen gäller för alla barn som befinner sig i ett land som har ratificerat den.</w:t>
      </w:r>
    </w:p>
    <w:p w:rsidR="00537CAD" w:rsidRPr="005E14E7" w:rsidRDefault="00537CAD" w:rsidP="00537CAD">
      <w:r w:rsidRPr="005E14E7">
        <w:t>Artikel 3 anger att det är barnets bästa som ska komma i främsta rummet vid alla åtgärder som rör barnet. Begreppet ”barnets bästa” är konventionens grundpelare och har analyserats mer än något annat begrepp i barnkonventionen. Vad som är barnets bästa måste avgöras i varje enskilt fall.</w:t>
      </w:r>
    </w:p>
    <w:p w:rsidR="00537CAD" w:rsidRPr="005E14E7" w:rsidRDefault="00537CAD" w:rsidP="00537CAD">
      <w:r w:rsidRPr="005E14E7">
        <w:t>Artikel 6 säger att varje barn har rätt att överleva, leva och utvecklas. Artikeln handlar inte bara om barnets fysiska hälsa utan också om den andliga, moraliska, psykiska och sociala utvecklingen.</w:t>
      </w:r>
    </w:p>
    <w:p w:rsidR="009E1A34" w:rsidRDefault="00537CAD" w:rsidP="00537CAD">
      <w:r w:rsidRPr="005E14E7">
        <w:t>Artikel 12 handlar om barnets rätt att uttrycka sina åsikter och få dem beaktade i alla frågor som berör honom eller henne. När åsikterna beaktas ska hänsyn tas till barnets ålder och mognad.</w:t>
      </w:r>
    </w:p>
    <w:p w:rsidR="009E1A34" w:rsidRDefault="009E1A34"/>
    <w:p w:rsidR="005E14E7" w:rsidRDefault="005E14E7">
      <w:pPr>
        <w:rPr>
          <w:b/>
          <w:highlight w:val="yellow"/>
        </w:rPr>
      </w:pPr>
    </w:p>
    <w:p w:rsidR="005E14E7" w:rsidRDefault="005E14E7">
      <w:pPr>
        <w:rPr>
          <w:b/>
          <w:highlight w:val="yellow"/>
        </w:rPr>
      </w:pPr>
    </w:p>
    <w:p w:rsidR="005E14E7" w:rsidRDefault="005E14E7">
      <w:pPr>
        <w:rPr>
          <w:b/>
          <w:highlight w:val="yellow"/>
        </w:rPr>
      </w:pPr>
    </w:p>
    <w:p w:rsidR="007944FA" w:rsidRDefault="007944FA">
      <w:pPr>
        <w:rPr>
          <w:b/>
          <w:highlight w:val="yellow"/>
        </w:rPr>
      </w:pPr>
    </w:p>
    <w:p w:rsidR="007944FA" w:rsidRDefault="007944FA">
      <w:pPr>
        <w:rPr>
          <w:b/>
          <w:highlight w:val="yellow"/>
        </w:rPr>
      </w:pPr>
    </w:p>
    <w:p w:rsidR="007944FA" w:rsidRDefault="007944FA">
      <w:pPr>
        <w:rPr>
          <w:b/>
          <w:highlight w:val="yellow"/>
        </w:rPr>
      </w:pPr>
    </w:p>
    <w:p w:rsidR="007944FA" w:rsidRDefault="007944FA">
      <w:pPr>
        <w:rPr>
          <w:b/>
          <w:highlight w:val="yellow"/>
        </w:rPr>
      </w:pPr>
    </w:p>
    <w:p w:rsidR="007944FA" w:rsidRDefault="007944FA">
      <w:pPr>
        <w:rPr>
          <w:b/>
          <w:highlight w:val="yellow"/>
        </w:rPr>
      </w:pPr>
    </w:p>
    <w:p w:rsidR="007944FA" w:rsidRDefault="007944FA">
      <w:pPr>
        <w:rPr>
          <w:b/>
          <w:highlight w:val="yellow"/>
        </w:rPr>
      </w:pPr>
    </w:p>
    <w:p w:rsidR="00741D8A" w:rsidRPr="005E14E7" w:rsidRDefault="00741D8A">
      <w:pPr>
        <w:rPr>
          <w:b/>
        </w:rPr>
      </w:pPr>
      <w:r w:rsidRPr="005E14E7">
        <w:rPr>
          <w:b/>
        </w:rPr>
        <w:t xml:space="preserve">ÅRSCYKEL </w:t>
      </w:r>
      <w:r w:rsidRPr="005E14E7">
        <w:rPr>
          <w:b/>
        </w:rPr>
        <w:tab/>
      </w:r>
    </w:p>
    <w:tbl>
      <w:tblPr>
        <w:tblStyle w:val="Tabellrutnt"/>
        <w:tblW w:w="0" w:type="auto"/>
        <w:tblLook w:val="04A0" w:firstRow="1" w:lastRow="0" w:firstColumn="1" w:lastColumn="0" w:noHBand="0" w:noVBand="1"/>
      </w:tblPr>
      <w:tblGrid>
        <w:gridCol w:w="4610"/>
        <w:gridCol w:w="1900"/>
        <w:gridCol w:w="2552"/>
      </w:tblGrid>
      <w:tr w:rsidR="00741D8A" w:rsidRPr="005E14E7" w:rsidTr="007944FA">
        <w:trPr>
          <w:trHeight w:val="567"/>
        </w:trPr>
        <w:tc>
          <w:tcPr>
            <w:tcW w:w="4610" w:type="dxa"/>
            <w:shd w:val="clear" w:color="auto" w:fill="BFBFBF" w:themeFill="background1" w:themeFillShade="BF"/>
          </w:tcPr>
          <w:p w:rsidR="00741D8A" w:rsidRPr="005E14E7" w:rsidRDefault="00741D8A" w:rsidP="008E02AC">
            <w:pPr>
              <w:rPr>
                <w:rFonts w:ascii="Verdana" w:hAnsi="Verdana"/>
                <w:sz w:val="32"/>
                <w:szCs w:val="32"/>
              </w:rPr>
            </w:pPr>
            <w:r w:rsidRPr="005E14E7">
              <w:rPr>
                <w:rFonts w:ascii="Verdana" w:hAnsi="Verdana"/>
                <w:sz w:val="32"/>
                <w:szCs w:val="32"/>
              </w:rPr>
              <w:t>Inbjudan till dop</w:t>
            </w:r>
          </w:p>
        </w:tc>
        <w:tc>
          <w:tcPr>
            <w:tcW w:w="1900" w:type="dxa"/>
            <w:shd w:val="clear" w:color="auto" w:fill="BFBFBF" w:themeFill="background1" w:themeFillShade="BF"/>
          </w:tcPr>
          <w:p w:rsidR="00741D8A" w:rsidRPr="005E14E7" w:rsidRDefault="00741D8A" w:rsidP="008E02AC"/>
        </w:tc>
        <w:tc>
          <w:tcPr>
            <w:tcW w:w="2552" w:type="dxa"/>
            <w:shd w:val="clear" w:color="auto" w:fill="BFBFBF" w:themeFill="background1" w:themeFillShade="BF"/>
          </w:tcPr>
          <w:p w:rsidR="00741D8A" w:rsidRPr="005E14E7" w:rsidRDefault="00741D8A" w:rsidP="008E02AC"/>
        </w:tc>
      </w:tr>
      <w:tr w:rsidR="00741D8A" w:rsidRPr="005E14E7" w:rsidTr="007944FA">
        <w:tc>
          <w:tcPr>
            <w:tcW w:w="4610" w:type="dxa"/>
            <w:shd w:val="clear" w:color="auto" w:fill="BFBFBF" w:themeFill="background1" w:themeFillShade="BF"/>
          </w:tcPr>
          <w:p w:rsidR="00741D8A" w:rsidRPr="005E14E7" w:rsidRDefault="00741D8A" w:rsidP="008E02AC">
            <w:pPr>
              <w:rPr>
                <w:rFonts w:ascii="Verdana" w:hAnsi="Verdana"/>
                <w:sz w:val="20"/>
                <w:szCs w:val="20"/>
              </w:rPr>
            </w:pPr>
            <w:r w:rsidRPr="005E14E7">
              <w:rPr>
                <w:rFonts w:ascii="Verdana" w:hAnsi="Verdana"/>
                <w:sz w:val="20"/>
                <w:szCs w:val="20"/>
              </w:rPr>
              <w:t>Aktivitet</w:t>
            </w:r>
          </w:p>
        </w:tc>
        <w:tc>
          <w:tcPr>
            <w:tcW w:w="1900" w:type="dxa"/>
            <w:shd w:val="clear" w:color="auto" w:fill="BFBFBF" w:themeFill="background1" w:themeFillShade="BF"/>
          </w:tcPr>
          <w:p w:rsidR="00741D8A" w:rsidRPr="005E14E7" w:rsidRDefault="00741D8A" w:rsidP="008E02AC">
            <w:pPr>
              <w:rPr>
                <w:rFonts w:ascii="Verdana" w:hAnsi="Verdana"/>
              </w:rPr>
            </w:pPr>
            <w:r w:rsidRPr="005E14E7">
              <w:rPr>
                <w:rFonts w:ascii="Verdana" w:hAnsi="Verdana"/>
              </w:rPr>
              <w:t>När</w:t>
            </w:r>
          </w:p>
        </w:tc>
        <w:tc>
          <w:tcPr>
            <w:tcW w:w="2552" w:type="dxa"/>
            <w:shd w:val="clear" w:color="auto" w:fill="BFBFBF" w:themeFill="background1" w:themeFillShade="BF"/>
          </w:tcPr>
          <w:p w:rsidR="00741D8A" w:rsidRPr="005E14E7" w:rsidRDefault="00741D8A" w:rsidP="008E02AC">
            <w:pPr>
              <w:rPr>
                <w:rFonts w:ascii="Verdana" w:hAnsi="Verdana"/>
                <w:sz w:val="20"/>
                <w:szCs w:val="20"/>
              </w:rPr>
            </w:pPr>
            <w:r w:rsidRPr="005E14E7">
              <w:rPr>
                <w:rFonts w:ascii="Verdana" w:hAnsi="Verdana"/>
                <w:sz w:val="20"/>
                <w:szCs w:val="20"/>
              </w:rPr>
              <w:t>Ansvarig</w:t>
            </w:r>
          </w:p>
        </w:tc>
      </w:tr>
      <w:tr w:rsidR="005E14E7" w:rsidRPr="0056274E" w:rsidTr="007944FA">
        <w:trPr>
          <w:trHeight w:val="1648"/>
        </w:trPr>
        <w:tc>
          <w:tcPr>
            <w:tcW w:w="4610" w:type="dxa"/>
          </w:tcPr>
          <w:p w:rsidR="005E14E7" w:rsidRPr="005E14E7" w:rsidRDefault="005E14E7" w:rsidP="008E02AC">
            <w:pPr>
              <w:rPr>
                <w:rFonts w:ascii="Verdana" w:hAnsi="Verdana"/>
                <w:sz w:val="24"/>
                <w:szCs w:val="24"/>
              </w:rPr>
            </w:pPr>
            <w:r>
              <w:rPr>
                <w:rFonts w:ascii="Verdana" w:hAnsi="Verdana"/>
                <w:sz w:val="24"/>
                <w:szCs w:val="24"/>
              </w:rPr>
              <w:t>Inbjudan att boka dop samt svenska kyrkans informationsfolder Dopet skickas ut via post till alla nyfödda i församlingen</w:t>
            </w:r>
          </w:p>
        </w:tc>
        <w:tc>
          <w:tcPr>
            <w:tcW w:w="1900" w:type="dxa"/>
          </w:tcPr>
          <w:p w:rsidR="00C26020" w:rsidRDefault="00C26020" w:rsidP="008E02AC">
            <w:pPr>
              <w:rPr>
                <w:rFonts w:ascii="Verdana" w:hAnsi="Verdana"/>
                <w:sz w:val="24"/>
                <w:szCs w:val="24"/>
              </w:rPr>
            </w:pPr>
          </w:p>
          <w:p w:rsidR="005E14E7" w:rsidRPr="005E14E7" w:rsidRDefault="00C26020" w:rsidP="008E02AC">
            <w:pPr>
              <w:rPr>
                <w:rFonts w:ascii="Verdana" w:hAnsi="Verdana"/>
                <w:sz w:val="24"/>
                <w:szCs w:val="24"/>
              </w:rPr>
            </w:pPr>
            <w:r>
              <w:rPr>
                <w:rFonts w:ascii="Verdana" w:hAnsi="Verdana"/>
                <w:sz w:val="24"/>
                <w:szCs w:val="24"/>
              </w:rPr>
              <w:t>Löpande</w:t>
            </w:r>
          </w:p>
        </w:tc>
        <w:tc>
          <w:tcPr>
            <w:tcW w:w="2552" w:type="dxa"/>
          </w:tcPr>
          <w:p w:rsidR="00C26020" w:rsidRDefault="00C26020" w:rsidP="008E02AC">
            <w:pPr>
              <w:rPr>
                <w:rFonts w:ascii="Verdana" w:hAnsi="Verdana"/>
                <w:sz w:val="24"/>
                <w:szCs w:val="24"/>
              </w:rPr>
            </w:pPr>
          </w:p>
          <w:p w:rsidR="005E14E7" w:rsidRPr="005E14E7" w:rsidRDefault="005E14E7" w:rsidP="008E02AC">
            <w:pPr>
              <w:rPr>
                <w:rFonts w:ascii="Verdana" w:hAnsi="Verdana"/>
                <w:sz w:val="24"/>
                <w:szCs w:val="24"/>
              </w:rPr>
            </w:pPr>
            <w:r>
              <w:rPr>
                <w:rFonts w:ascii="Verdana" w:hAnsi="Verdana"/>
                <w:sz w:val="24"/>
                <w:szCs w:val="24"/>
              </w:rPr>
              <w:t>Expeditionen</w:t>
            </w:r>
          </w:p>
        </w:tc>
      </w:tr>
      <w:tr w:rsidR="00741D8A" w:rsidRPr="0056274E" w:rsidTr="007944FA">
        <w:trPr>
          <w:trHeight w:val="3528"/>
        </w:trPr>
        <w:tc>
          <w:tcPr>
            <w:tcW w:w="4610" w:type="dxa"/>
          </w:tcPr>
          <w:p w:rsidR="00741D8A" w:rsidRPr="005E14E7" w:rsidRDefault="00741D8A" w:rsidP="008E02AC">
            <w:pPr>
              <w:rPr>
                <w:rFonts w:ascii="Verdana" w:hAnsi="Verdana"/>
                <w:sz w:val="24"/>
                <w:szCs w:val="24"/>
              </w:rPr>
            </w:pPr>
          </w:p>
          <w:p w:rsidR="00741D8A" w:rsidRPr="005E14E7" w:rsidRDefault="00741D8A" w:rsidP="008E02AC">
            <w:pPr>
              <w:rPr>
                <w:rFonts w:ascii="Verdana" w:hAnsi="Verdana"/>
                <w:sz w:val="24"/>
                <w:szCs w:val="24"/>
              </w:rPr>
            </w:pPr>
            <w:r w:rsidRPr="005E14E7">
              <w:rPr>
                <w:rFonts w:ascii="Verdana" w:hAnsi="Verdana"/>
                <w:sz w:val="24"/>
                <w:szCs w:val="24"/>
              </w:rPr>
              <w:t xml:space="preserve">Asarums Pastorats hemsida </w:t>
            </w:r>
            <w:r w:rsidRPr="005E14E7">
              <w:rPr>
                <w:rFonts w:ascii="Verdana" w:hAnsi="Verdana"/>
                <w:color w:val="2E74B5" w:themeColor="accent1" w:themeShade="BF"/>
                <w:sz w:val="24"/>
                <w:szCs w:val="24"/>
                <w:u w:val="single"/>
              </w:rPr>
              <w:t>www.svenskakyrkan.se/asarum/dop</w:t>
            </w:r>
          </w:p>
          <w:p w:rsidR="00741D8A" w:rsidRPr="005E14E7" w:rsidRDefault="00741D8A" w:rsidP="008E02AC">
            <w:pPr>
              <w:rPr>
                <w:rFonts w:ascii="Verdana" w:hAnsi="Verdana"/>
                <w:sz w:val="24"/>
                <w:szCs w:val="24"/>
              </w:rPr>
            </w:pPr>
            <w:r w:rsidRPr="005E14E7">
              <w:rPr>
                <w:rFonts w:ascii="Verdana" w:hAnsi="Verdana"/>
                <w:sz w:val="24"/>
                <w:szCs w:val="24"/>
              </w:rPr>
              <w:t xml:space="preserve">ska innehålla information om dopets innehåll och dess betydelse. Praktisk information kring doplördagar, dop i söndagens gudstjänst, hemmadop, hyra församlingslokal för dopfika, lån av dopklänning. </w:t>
            </w:r>
            <w:r w:rsidR="000D13A5" w:rsidRPr="005E14E7">
              <w:rPr>
                <w:rFonts w:ascii="Verdana" w:hAnsi="Verdana"/>
                <w:sz w:val="24"/>
                <w:szCs w:val="24"/>
              </w:rPr>
              <w:t>Vid vuxendop kommer präst och dopkandidat överens om var dopet sker.</w:t>
            </w:r>
          </w:p>
          <w:p w:rsidR="00741D8A" w:rsidRPr="005E14E7" w:rsidRDefault="00741D8A" w:rsidP="008E02AC">
            <w:pPr>
              <w:rPr>
                <w:rFonts w:ascii="Verdana" w:hAnsi="Verdana"/>
                <w:color w:val="2E74B5" w:themeColor="accent1" w:themeShade="BF"/>
                <w:sz w:val="24"/>
                <w:szCs w:val="24"/>
                <w:u w:val="single"/>
              </w:rPr>
            </w:pPr>
            <w:r w:rsidRPr="005E14E7">
              <w:rPr>
                <w:rFonts w:ascii="Verdana" w:hAnsi="Verdana"/>
                <w:sz w:val="24"/>
                <w:szCs w:val="24"/>
              </w:rPr>
              <w:t xml:space="preserve">Hänvisar till </w:t>
            </w:r>
            <w:r w:rsidRPr="005E14E7">
              <w:rPr>
                <w:rFonts w:ascii="Verdana" w:hAnsi="Verdana"/>
                <w:color w:val="2E74B5" w:themeColor="accent1" w:themeShade="BF"/>
                <w:sz w:val="24"/>
                <w:szCs w:val="24"/>
                <w:u w:val="single"/>
              </w:rPr>
              <w:t>dopsajten.se</w:t>
            </w:r>
            <w:r w:rsidRPr="005E14E7">
              <w:rPr>
                <w:rFonts w:ascii="Verdana" w:hAnsi="Verdana"/>
                <w:sz w:val="24"/>
                <w:szCs w:val="24"/>
              </w:rPr>
              <w:t>.</w:t>
            </w:r>
          </w:p>
        </w:tc>
        <w:tc>
          <w:tcPr>
            <w:tcW w:w="1900" w:type="dxa"/>
          </w:tcPr>
          <w:p w:rsidR="00741D8A" w:rsidRPr="005E14E7" w:rsidRDefault="00741D8A" w:rsidP="008E02AC">
            <w:pPr>
              <w:rPr>
                <w:rFonts w:ascii="Verdana" w:hAnsi="Verdana"/>
                <w:sz w:val="24"/>
                <w:szCs w:val="24"/>
              </w:rPr>
            </w:pPr>
          </w:p>
          <w:p w:rsidR="00741D8A" w:rsidRPr="005E14E7" w:rsidRDefault="00741D8A" w:rsidP="008E02AC">
            <w:pPr>
              <w:rPr>
                <w:rFonts w:ascii="Verdana" w:hAnsi="Verdana"/>
                <w:sz w:val="24"/>
                <w:szCs w:val="24"/>
              </w:rPr>
            </w:pPr>
            <w:r w:rsidRPr="005E14E7">
              <w:rPr>
                <w:rFonts w:ascii="Verdana" w:hAnsi="Verdana"/>
                <w:sz w:val="24"/>
                <w:szCs w:val="24"/>
              </w:rPr>
              <w:t>Löpande underhåll</w:t>
            </w:r>
          </w:p>
        </w:tc>
        <w:tc>
          <w:tcPr>
            <w:tcW w:w="2552" w:type="dxa"/>
          </w:tcPr>
          <w:p w:rsidR="00741D8A" w:rsidRPr="005E14E7" w:rsidRDefault="00741D8A" w:rsidP="008E02AC">
            <w:pPr>
              <w:rPr>
                <w:rFonts w:ascii="Verdana" w:hAnsi="Verdana"/>
                <w:sz w:val="24"/>
                <w:szCs w:val="24"/>
              </w:rPr>
            </w:pPr>
          </w:p>
          <w:p w:rsidR="00741D8A" w:rsidRPr="005E14E7" w:rsidRDefault="00741D8A" w:rsidP="008E02AC">
            <w:pPr>
              <w:rPr>
                <w:rFonts w:ascii="Verdana" w:hAnsi="Verdana"/>
                <w:sz w:val="24"/>
                <w:szCs w:val="24"/>
              </w:rPr>
            </w:pPr>
            <w:r w:rsidRPr="005E14E7">
              <w:rPr>
                <w:rFonts w:ascii="Verdana" w:hAnsi="Verdana"/>
                <w:sz w:val="24"/>
                <w:szCs w:val="24"/>
              </w:rPr>
              <w:t>Kommunikatören</w:t>
            </w:r>
          </w:p>
          <w:p w:rsidR="00741D8A" w:rsidRPr="005E14E7" w:rsidRDefault="00741D8A" w:rsidP="008E02AC"/>
        </w:tc>
      </w:tr>
      <w:tr w:rsidR="00741D8A" w:rsidRPr="0056274E" w:rsidTr="007944FA">
        <w:trPr>
          <w:trHeight w:val="2556"/>
        </w:trPr>
        <w:tc>
          <w:tcPr>
            <w:tcW w:w="4610" w:type="dxa"/>
          </w:tcPr>
          <w:p w:rsidR="00741D8A" w:rsidRPr="005E14E7" w:rsidRDefault="00741D8A" w:rsidP="008E02AC"/>
          <w:p w:rsidR="00741D8A" w:rsidRPr="005E14E7" w:rsidRDefault="00741D8A" w:rsidP="008E02AC">
            <w:pPr>
              <w:rPr>
                <w:rFonts w:ascii="Verdana" w:hAnsi="Verdana"/>
                <w:sz w:val="24"/>
                <w:szCs w:val="24"/>
              </w:rPr>
            </w:pPr>
            <w:r w:rsidRPr="005E14E7">
              <w:rPr>
                <w:rFonts w:ascii="Verdana" w:hAnsi="Verdana"/>
                <w:sz w:val="24"/>
                <w:szCs w:val="24"/>
              </w:rPr>
              <w:t xml:space="preserve">Expeditionen ska ha tillgång till tillräcklig och uppdaterad information om prästschema, lokalförutsättningar, vaktmästare och musiker. </w:t>
            </w:r>
          </w:p>
          <w:p w:rsidR="00741D8A" w:rsidRPr="005E14E7" w:rsidRDefault="001A19C7" w:rsidP="008E02AC">
            <w:r w:rsidRPr="001A19C7">
              <w:rPr>
                <w:rFonts w:ascii="Verdana" w:hAnsi="Verdana"/>
                <w:sz w:val="24"/>
                <w:szCs w:val="24"/>
              </w:rPr>
              <w:t>Medarbetaren</w:t>
            </w:r>
            <w:r w:rsidR="00741D8A" w:rsidRPr="005E14E7">
              <w:rPr>
                <w:rFonts w:ascii="Verdana" w:hAnsi="Verdana"/>
                <w:color w:val="2E74B5" w:themeColor="accent1" w:themeShade="BF"/>
                <w:sz w:val="24"/>
                <w:szCs w:val="24"/>
              </w:rPr>
              <w:t xml:space="preserve"> </w:t>
            </w:r>
            <w:r w:rsidR="00741D8A" w:rsidRPr="005E14E7">
              <w:rPr>
                <w:rFonts w:ascii="Verdana" w:hAnsi="Verdana"/>
                <w:sz w:val="24"/>
                <w:szCs w:val="24"/>
              </w:rPr>
              <w:t>behöver vara uppdaterad</w:t>
            </w:r>
            <w:r w:rsidR="00741D8A" w:rsidRPr="005E14E7">
              <w:t>.</w:t>
            </w:r>
          </w:p>
        </w:tc>
        <w:tc>
          <w:tcPr>
            <w:tcW w:w="1900" w:type="dxa"/>
          </w:tcPr>
          <w:p w:rsidR="00741D8A" w:rsidRPr="005E14E7" w:rsidRDefault="00741D8A" w:rsidP="008E02AC">
            <w:pPr>
              <w:rPr>
                <w:rFonts w:ascii="Verdana" w:hAnsi="Verdana"/>
                <w:sz w:val="24"/>
                <w:szCs w:val="24"/>
              </w:rPr>
            </w:pPr>
          </w:p>
          <w:p w:rsidR="00741D8A" w:rsidRPr="005E14E7" w:rsidRDefault="00741D8A" w:rsidP="008E02AC">
            <w:r w:rsidRPr="005E14E7">
              <w:rPr>
                <w:rFonts w:ascii="Verdana" w:hAnsi="Verdana"/>
                <w:sz w:val="24"/>
                <w:szCs w:val="24"/>
              </w:rPr>
              <w:t>Löpande underhåll</w:t>
            </w:r>
          </w:p>
        </w:tc>
        <w:tc>
          <w:tcPr>
            <w:tcW w:w="2552" w:type="dxa"/>
          </w:tcPr>
          <w:p w:rsidR="00741D8A" w:rsidRPr="005E14E7" w:rsidRDefault="00741D8A" w:rsidP="008E02AC">
            <w:pPr>
              <w:rPr>
                <w:rFonts w:ascii="Verdana" w:hAnsi="Verdana"/>
                <w:sz w:val="24"/>
                <w:szCs w:val="24"/>
              </w:rPr>
            </w:pPr>
          </w:p>
          <w:p w:rsidR="00741D8A" w:rsidRPr="005E14E7" w:rsidRDefault="00741D8A" w:rsidP="008E02AC">
            <w:pPr>
              <w:rPr>
                <w:rFonts w:ascii="Verdana" w:hAnsi="Verdana"/>
                <w:sz w:val="24"/>
                <w:szCs w:val="24"/>
              </w:rPr>
            </w:pPr>
            <w:r w:rsidRPr="005E14E7">
              <w:rPr>
                <w:rFonts w:ascii="Verdana" w:hAnsi="Verdana"/>
                <w:sz w:val="24"/>
                <w:szCs w:val="24"/>
              </w:rPr>
              <w:t>Expeditionen</w:t>
            </w:r>
          </w:p>
        </w:tc>
      </w:tr>
      <w:tr w:rsidR="00741D8A" w:rsidRPr="0056274E" w:rsidTr="007944FA">
        <w:tc>
          <w:tcPr>
            <w:tcW w:w="4610" w:type="dxa"/>
          </w:tcPr>
          <w:p w:rsidR="00741D8A" w:rsidRPr="001A19C7" w:rsidRDefault="00741D8A" w:rsidP="008E02AC">
            <w:pPr>
              <w:rPr>
                <w:rFonts w:ascii="Verdana" w:hAnsi="Verdana"/>
                <w:sz w:val="24"/>
                <w:szCs w:val="24"/>
              </w:rPr>
            </w:pPr>
          </w:p>
          <w:p w:rsidR="00741D8A" w:rsidRPr="001A19C7" w:rsidRDefault="00741D8A" w:rsidP="008E02AC">
            <w:pPr>
              <w:rPr>
                <w:rFonts w:ascii="Verdana" w:hAnsi="Verdana"/>
                <w:sz w:val="24"/>
                <w:szCs w:val="24"/>
              </w:rPr>
            </w:pPr>
            <w:r w:rsidRPr="001A19C7">
              <w:rPr>
                <w:rFonts w:ascii="Verdana" w:hAnsi="Verdana"/>
                <w:sz w:val="24"/>
                <w:szCs w:val="24"/>
              </w:rPr>
              <w:t>Broschyren ”Det händer i våra kyrkor” informerar om doplördagar.</w:t>
            </w:r>
          </w:p>
          <w:p w:rsidR="00741D8A" w:rsidRPr="001A19C7" w:rsidRDefault="00741D8A" w:rsidP="008E02AC"/>
        </w:tc>
        <w:tc>
          <w:tcPr>
            <w:tcW w:w="1900" w:type="dxa"/>
          </w:tcPr>
          <w:p w:rsidR="00741D8A" w:rsidRPr="001A19C7" w:rsidRDefault="00741D8A" w:rsidP="008E02AC">
            <w:pPr>
              <w:rPr>
                <w:rFonts w:ascii="Verdana" w:hAnsi="Verdana"/>
                <w:sz w:val="24"/>
                <w:szCs w:val="24"/>
              </w:rPr>
            </w:pPr>
          </w:p>
          <w:p w:rsidR="00741D8A" w:rsidRPr="001A19C7" w:rsidRDefault="00741D8A" w:rsidP="008E02AC">
            <w:pPr>
              <w:rPr>
                <w:rFonts w:ascii="Verdana" w:hAnsi="Verdana"/>
                <w:sz w:val="24"/>
                <w:szCs w:val="24"/>
              </w:rPr>
            </w:pPr>
            <w:r w:rsidRPr="001A19C7">
              <w:rPr>
                <w:rFonts w:ascii="Verdana" w:hAnsi="Verdana"/>
                <w:sz w:val="24"/>
                <w:szCs w:val="24"/>
              </w:rPr>
              <w:t>4 ggr/år</w:t>
            </w:r>
          </w:p>
        </w:tc>
        <w:tc>
          <w:tcPr>
            <w:tcW w:w="2552" w:type="dxa"/>
          </w:tcPr>
          <w:p w:rsidR="00741D8A" w:rsidRPr="001A19C7" w:rsidRDefault="00741D8A" w:rsidP="008E02AC">
            <w:pPr>
              <w:rPr>
                <w:rFonts w:ascii="Verdana" w:hAnsi="Verdana"/>
                <w:sz w:val="24"/>
                <w:szCs w:val="24"/>
              </w:rPr>
            </w:pPr>
            <w:r w:rsidRPr="001A19C7">
              <w:rPr>
                <w:rFonts w:ascii="Verdana" w:hAnsi="Verdana"/>
                <w:sz w:val="24"/>
                <w:szCs w:val="24"/>
              </w:rPr>
              <w:t>Kommunikatören</w:t>
            </w:r>
          </w:p>
          <w:p w:rsidR="00741D8A" w:rsidRPr="001A19C7" w:rsidRDefault="00741D8A" w:rsidP="008E02AC"/>
        </w:tc>
      </w:tr>
      <w:tr w:rsidR="00741D8A" w:rsidRPr="0056274E" w:rsidTr="007944FA">
        <w:tc>
          <w:tcPr>
            <w:tcW w:w="4610" w:type="dxa"/>
          </w:tcPr>
          <w:p w:rsidR="00741D8A" w:rsidRPr="0056274E" w:rsidRDefault="00741D8A" w:rsidP="008E02AC">
            <w:pPr>
              <w:rPr>
                <w:rFonts w:ascii="Verdana" w:hAnsi="Verdana"/>
                <w:sz w:val="24"/>
                <w:szCs w:val="24"/>
                <w:highlight w:val="yellow"/>
              </w:rPr>
            </w:pPr>
          </w:p>
          <w:p w:rsidR="00741D8A" w:rsidRPr="001A19C7" w:rsidRDefault="00741D8A" w:rsidP="008E02AC">
            <w:pPr>
              <w:rPr>
                <w:rFonts w:ascii="Verdana" w:hAnsi="Verdana"/>
                <w:sz w:val="24"/>
                <w:szCs w:val="24"/>
              </w:rPr>
            </w:pPr>
            <w:r w:rsidRPr="001A19C7">
              <w:rPr>
                <w:rFonts w:ascii="Verdana" w:hAnsi="Verdana"/>
                <w:sz w:val="24"/>
                <w:szCs w:val="24"/>
              </w:rPr>
              <w:t>Dopets möjligheter presenteras i broschyr ” Info om Asarums Pastorat”.</w:t>
            </w:r>
          </w:p>
          <w:p w:rsidR="00741D8A" w:rsidRPr="0056274E" w:rsidRDefault="00741D8A" w:rsidP="008E02AC">
            <w:pPr>
              <w:rPr>
                <w:rFonts w:ascii="Verdana" w:hAnsi="Verdana"/>
                <w:sz w:val="24"/>
                <w:szCs w:val="24"/>
                <w:highlight w:val="yellow"/>
              </w:rPr>
            </w:pPr>
          </w:p>
        </w:tc>
        <w:tc>
          <w:tcPr>
            <w:tcW w:w="1900" w:type="dxa"/>
          </w:tcPr>
          <w:p w:rsidR="00741D8A" w:rsidRPr="0056274E" w:rsidRDefault="00741D8A" w:rsidP="008E02AC">
            <w:pPr>
              <w:rPr>
                <w:rFonts w:ascii="Verdana" w:hAnsi="Verdana"/>
                <w:sz w:val="24"/>
                <w:szCs w:val="24"/>
                <w:highlight w:val="yellow"/>
              </w:rPr>
            </w:pPr>
          </w:p>
          <w:p w:rsidR="00741D8A" w:rsidRPr="0056274E" w:rsidRDefault="00741D8A" w:rsidP="008E02AC">
            <w:pPr>
              <w:rPr>
                <w:rFonts w:ascii="Verdana" w:hAnsi="Verdana"/>
                <w:sz w:val="24"/>
                <w:szCs w:val="24"/>
                <w:highlight w:val="yellow"/>
              </w:rPr>
            </w:pPr>
            <w:r w:rsidRPr="001A19C7">
              <w:rPr>
                <w:rFonts w:ascii="Verdana" w:hAnsi="Verdana"/>
                <w:sz w:val="24"/>
                <w:szCs w:val="24"/>
              </w:rPr>
              <w:t>2 ggr/år</w:t>
            </w:r>
          </w:p>
        </w:tc>
        <w:tc>
          <w:tcPr>
            <w:tcW w:w="2552" w:type="dxa"/>
          </w:tcPr>
          <w:p w:rsidR="00741D8A" w:rsidRPr="0056274E" w:rsidRDefault="00741D8A" w:rsidP="008E02AC">
            <w:pPr>
              <w:rPr>
                <w:rFonts w:ascii="Verdana" w:hAnsi="Verdana"/>
                <w:sz w:val="24"/>
                <w:szCs w:val="24"/>
                <w:highlight w:val="yellow"/>
              </w:rPr>
            </w:pPr>
            <w:r w:rsidRPr="001A19C7">
              <w:rPr>
                <w:rFonts w:ascii="Verdana" w:hAnsi="Verdana"/>
                <w:sz w:val="24"/>
                <w:szCs w:val="24"/>
              </w:rPr>
              <w:t>Kommunikatören</w:t>
            </w:r>
          </w:p>
        </w:tc>
      </w:tr>
      <w:tr w:rsidR="00741D8A" w:rsidRPr="0056274E" w:rsidTr="007944FA">
        <w:tc>
          <w:tcPr>
            <w:tcW w:w="4610" w:type="dxa"/>
          </w:tcPr>
          <w:p w:rsidR="00741D8A" w:rsidRPr="0056274E" w:rsidRDefault="00741D8A" w:rsidP="008E02AC">
            <w:pPr>
              <w:rPr>
                <w:rFonts w:ascii="Verdana" w:hAnsi="Verdana"/>
                <w:sz w:val="24"/>
                <w:szCs w:val="24"/>
                <w:highlight w:val="yellow"/>
              </w:rPr>
            </w:pPr>
          </w:p>
          <w:p w:rsidR="00741D8A" w:rsidRPr="001A19C7" w:rsidRDefault="00741D8A" w:rsidP="008E02AC">
            <w:pPr>
              <w:rPr>
                <w:rFonts w:ascii="Verdana" w:hAnsi="Verdana"/>
                <w:sz w:val="24"/>
                <w:szCs w:val="24"/>
              </w:rPr>
            </w:pPr>
            <w:r w:rsidRPr="001A19C7">
              <w:rPr>
                <w:rFonts w:ascii="Verdana" w:hAnsi="Verdana"/>
                <w:sz w:val="24"/>
                <w:szCs w:val="24"/>
              </w:rPr>
              <w:t>Vid bokning av dop skickas en bokningsbekräftelse ut tillsammans med Svenska kyrkans folder ”Dopet”.</w:t>
            </w:r>
          </w:p>
          <w:p w:rsidR="00741D8A" w:rsidRPr="0056274E" w:rsidRDefault="00741D8A" w:rsidP="008E02AC">
            <w:pPr>
              <w:rPr>
                <w:highlight w:val="yellow"/>
              </w:rPr>
            </w:pPr>
          </w:p>
        </w:tc>
        <w:tc>
          <w:tcPr>
            <w:tcW w:w="1900" w:type="dxa"/>
          </w:tcPr>
          <w:p w:rsidR="00741D8A" w:rsidRPr="0056274E" w:rsidRDefault="00741D8A" w:rsidP="008E02AC">
            <w:pPr>
              <w:rPr>
                <w:rFonts w:ascii="Verdana" w:hAnsi="Verdana"/>
                <w:sz w:val="24"/>
                <w:szCs w:val="24"/>
                <w:highlight w:val="yellow"/>
              </w:rPr>
            </w:pPr>
          </w:p>
          <w:p w:rsidR="00741D8A" w:rsidRPr="0056274E" w:rsidRDefault="00741D8A" w:rsidP="008E02AC">
            <w:pPr>
              <w:rPr>
                <w:rFonts w:ascii="Verdana" w:hAnsi="Verdana"/>
                <w:sz w:val="24"/>
                <w:szCs w:val="24"/>
                <w:highlight w:val="yellow"/>
              </w:rPr>
            </w:pPr>
            <w:r w:rsidRPr="001A19C7">
              <w:rPr>
                <w:rFonts w:ascii="Verdana" w:hAnsi="Verdana"/>
                <w:sz w:val="24"/>
                <w:szCs w:val="24"/>
              </w:rPr>
              <w:t>Vid varje bokning</w:t>
            </w:r>
          </w:p>
        </w:tc>
        <w:tc>
          <w:tcPr>
            <w:tcW w:w="2552" w:type="dxa"/>
          </w:tcPr>
          <w:p w:rsidR="00741D8A" w:rsidRPr="0056274E" w:rsidRDefault="00741D8A" w:rsidP="008E02AC">
            <w:pPr>
              <w:rPr>
                <w:rFonts w:ascii="Verdana" w:hAnsi="Verdana"/>
                <w:sz w:val="24"/>
                <w:szCs w:val="24"/>
                <w:highlight w:val="yellow"/>
              </w:rPr>
            </w:pPr>
          </w:p>
          <w:p w:rsidR="00741D8A" w:rsidRPr="001A19C7" w:rsidRDefault="00741D8A" w:rsidP="008E02AC">
            <w:pPr>
              <w:rPr>
                <w:rFonts w:ascii="Verdana" w:hAnsi="Verdana"/>
                <w:sz w:val="24"/>
                <w:szCs w:val="24"/>
              </w:rPr>
            </w:pPr>
            <w:r w:rsidRPr="001A19C7">
              <w:rPr>
                <w:rFonts w:ascii="Verdana" w:hAnsi="Verdana"/>
                <w:sz w:val="24"/>
                <w:szCs w:val="24"/>
              </w:rPr>
              <w:t>Kommunikatören</w:t>
            </w:r>
          </w:p>
          <w:p w:rsidR="00741D8A" w:rsidRPr="0056274E" w:rsidRDefault="00741D8A" w:rsidP="008E02AC">
            <w:pPr>
              <w:rPr>
                <w:highlight w:val="yellow"/>
              </w:rPr>
            </w:pPr>
          </w:p>
        </w:tc>
      </w:tr>
      <w:tr w:rsidR="00741D8A" w:rsidRPr="0056274E" w:rsidTr="007944FA">
        <w:trPr>
          <w:trHeight w:val="64"/>
        </w:trPr>
        <w:tc>
          <w:tcPr>
            <w:tcW w:w="4610" w:type="dxa"/>
            <w:shd w:val="clear" w:color="auto" w:fill="FFFFFF" w:themeFill="background1"/>
          </w:tcPr>
          <w:p w:rsidR="00741D8A" w:rsidRPr="0056274E" w:rsidRDefault="00741D8A" w:rsidP="008E02AC">
            <w:pPr>
              <w:rPr>
                <w:rFonts w:ascii="Verdana" w:hAnsi="Verdana"/>
                <w:sz w:val="24"/>
                <w:szCs w:val="24"/>
                <w:highlight w:val="yellow"/>
              </w:rPr>
            </w:pPr>
          </w:p>
          <w:p w:rsidR="00741D8A" w:rsidRPr="001A19C7" w:rsidRDefault="00741D8A" w:rsidP="008E02AC">
            <w:pPr>
              <w:rPr>
                <w:rFonts w:ascii="Verdana" w:hAnsi="Verdana"/>
                <w:sz w:val="24"/>
                <w:szCs w:val="24"/>
              </w:rPr>
            </w:pPr>
            <w:r w:rsidRPr="001A19C7">
              <w:rPr>
                <w:rFonts w:ascii="Verdana" w:hAnsi="Verdana"/>
                <w:sz w:val="24"/>
                <w:szCs w:val="24"/>
              </w:rPr>
              <w:t>Dopsamtal sker hemma hos den som ska döpas, på expeditionen eller annan ort.</w:t>
            </w:r>
          </w:p>
          <w:p w:rsidR="00741D8A" w:rsidRPr="001A19C7" w:rsidRDefault="00741D8A" w:rsidP="008E02AC">
            <w:pPr>
              <w:rPr>
                <w:rFonts w:ascii="Verdana" w:hAnsi="Verdana"/>
                <w:sz w:val="24"/>
                <w:szCs w:val="24"/>
              </w:rPr>
            </w:pPr>
          </w:p>
          <w:p w:rsidR="00741D8A" w:rsidRPr="0056274E" w:rsidRDefault="00741D8A" w:rsidP="008E02AC">
            <w:pPr>
              <w:rPr>
                <w:rFonts w:ascii="Verdana" w:hAnsi="Verdana"/>
                <w:sz w:val="24"/>
                <w:szCs w:val="24"/>
                <w:highlight w:val="yellow"/>
              </w:rPr>
            </w:pPr>
          </w:p>
          <w:p w:rsidR="00741D8A" w:rsidRPr="0056274E" w:rsidRDefault="00741D8A" w:rsidP="008E02AC">
            <w:pPr>
              <w:rPr>
                <w:rFonts w:ascii="Verdana" w:hAnsi="Verdana"/>
                <w:sz w:val="24"/>
                <w:szCs w:val="24"/>
                <w:highlight w:val="yellow"/>
              </w:rPr>
            </w:pPr>
          </w:p>
        </w:tc>
        <w:tc>
          <w:tcPr>
            <w:tcW w:w="1900" w:type="dxa"/>
          </w:tcPr>
          <w:p w:rsidR="00741D8A" w:rsidRPr="0056274E" w:rsidRDefault="00741D8A" w:rsidP="008E02AC">
            <w:pPr>
              <w:rPr>
                <w:rFonts w:ascii="Verdana" w:hAnsi="Verdana"/>
                <w:sz w:val="24"/>
                <w:szCs w:val="24"/>
                <w:highlight w:val="yellow"/>
              </w:rPr>
            </w:pPr>
          </w:p>
          <w:p w:rsidR="00741D8A" w:rsidRPr="001A19C7" w:rsidRDefault="00741D8A" w:rsidP="008E02AC">
            <w:pPr>
              <w:rPr>
                <w:rFonts w:ascii="Verdana" w:hAnsi="Verdana"/>
                <w:sz w:val="24"/>
                <w:szCs w:val="24"/>
              </w:rPr>
            </w:pPr>
            <w:r w:rsidRPr="001A19C7">
              <w:rPr>
                <w:rFonts w:ascii="Verdana" w:hAnsi="Verdana"/>
                <w:sz w:val="24"/>
                <w:szCs w:val="24"/>
              </w:rPr>
              <w:t>Vid varje dop som sker i vårt pastorat, i Gudstjänst eller hemma ca 1-2 veckor innan dop.</w:t>
            </w:r>
          </w:p>
          <w:p w:rsidR="00741D8A" w:rsidRPr="0056274E" w:rsidRDefault="00741D8A" w:rsidP="008E02AC">
            <w:pPr>
              <w:rPr>
                <w:rFonts w:ascii="Verdana" w:hAnsi="Verdana"/>
                <w:sz w:val="24"/>
                <w:szCs w:val="24"/>
                <w:highlight w:val="yellow"/>
              </w:rPr>
            </w:pPr>
          </w:p>
        </w:tc>
        <w:tc>
          <w:tcPr>
            <w:tcW w:w="2552" w:type="dxa"/>
          </w:tcPr>
          <w:p w:rsidR="00741D8A" w:rsidRPr="0056274E" w:rsidRDefault="00741D8A" w:rsidP="008E02AC">
            <w:pPr>
              <w:rPr>
                <w:rFonts w:ascii="Verdana" w:hAnsi="Verdana"/>
                <w:sz w:val="24"/>
                <w:szCs w:val="24"/>
                <w:highlight w:val="yellow"/>
              </w:rPr>
            </w:pPr>
          </w:p>
          <w:p w:rsidR="00741D8A" w:rsidRPr="001A19C7" w:rsidRDefault="00741D8A" w:rsidP="008E02AC">
            <w:pPr>
              <w:rPr>
                <w:rFonts w:ascii="Verdana" w:hAnsi="Verdana"/>
                <w:sz w:val="24"/>
                <w:szCs w:val="24"/>
              </w:rPr>
            </w:pPr>
            <w:r w:rsidRPr="001A19C7">
              <w:rPr>
                <w:rFonts w:ascii="Verdana" w:hAnsi="Verdana"/>
                <w:sz w:val="24"/>
                <w:szCs w:val="24"/>
              </w:rPr>
              <w:t>Tjänstgörande präst</w:t>
            </w:r>
          </w:p>
          <w:p w:rsidR="00741D8A" w:rsidRPr="001A19C7" w:rsidRDefault="00741D8A" w:rsidP="008E02AC">
            <w:pPr>
              <w:rPr>
                <w:rFonts w:ascii="Verdana" w:hAnsi="Verdana"/>
                <w:sz w:val="24"/>
                <w:szCs w:val="24"/>
              </w:rPr>
            </w:pPr>
          </w:p>
          <w:p w:rsidR="00741D8A" w:rsidRPr="0056274E" w:rsidRDefault="00741D8A" w:rsidP="008E02AC">
            <w:pPr>
              <w:rPr>
                <w:rFonts w:ascii="Verdana" w:hAnsi="Verdana"/>
                <w:sz w:val="24"/>
                <w:szCs w:val="24"/>
                <w:highlight w:val="yellow"/>
              </w:rPr>
            </w:pPr>
            <w:r w:rsidRPr="001A19C7">
              <w:rPr>
                <w:rFonts w:ascii="Verdana" w:hAnsi="Verdana"/>
                <w:sz w:val="24"/>
                <w:szCs w:val="24"/>
              </w:rPr>
              <w:t>Snabb kommunikati</w:t>
            </w:r>
            <w:r w:rsidR="000D13A5" w:rsidRPr="001A19C7">
              <w:rPr>
                <w:rFonts w:ascii="Verdana" w:hAnsi="Verdana"/>
                <w:sz w:val="24"/>
                <w:szCs w:val="24"/>
              </w:rPr>
              <w:t>on med musiker efter samtalet.</w:t>
            </w:r>
          </w:p>
          <w:p w:rsidR="00741D8A" w:rsidRPr="0056274E" w:rsidRDefault="00741D8A" w:rsidP="008E02AC">
            <w:pPr>
              <w:rPr>
                <w:rFonts w:ascii="Verdana" w:hAnsi="Verdana"/>
                <w:sz w:val="24"/>
                <w:szCs w:val="24"/>
                <w:highlight w:val="yellow"/>
              </w:rPr>
            </w:pPr>
          </w:p>
        </w:tc>
      </w:tr>
      <w:tr w:rsidR="00741D8A" w:rsidRPr="0056274E" w:rsidTr="007944FA">
        <w:tc>
          <w:tcPr>
            <w:tcW w:w="4610" w:type="dxa"/>
          </w:tcPr>
          <w:p w:rsidR="00741D8A" w:rsidRPr="0056274E" w:rsidRDefault="00741D8A" w:rsidP="008E02AC">
            <w:pPr>
              <w:rPr>
                <w:rFonts w:ascii="Verdana" w:hAnsi="Verdana"/>
                <w:sz w:val="24"/>
                <w:szCs w:val="24"/>
                <w:highlight w:val="yellow"/>
              </w:rPr>
            </w:pPr>
          </w:p>
          <w:p w:rsidR="00741D8A" w:rsidRPr="001A19C7" w:rsidRDefault="00741D8A" w:rsidP="008E02AC">
            <w:pPr>
              <w:rPr>
                <w:rFonts w:ascii="Verdana" w:hAnsi="Verdana"/>
                <w:sz w:val="24"/>
                <w:szCs w:val="24"/>
              </w:rPr>
            </w:pPr>
            <w:r w:rsidRPr="001A19C7">
              <w:rPr>
                <w:rFonts w:ascii="Verdana" w:hAnsi="Verdana"/>
                <w:sz w:val="24"/>
                <w:szCs w:val="24"/>
              </w:rPr>
              <w:t>Dop av konfirmander sker genom konfirmandarbetet.</w:t>
            </w:r>
          </w:p>
          <w:p w:rsidR="00741D8A" w:rsidRPr="0056274E" w:rsidRDefault="00741D8A" w:rsidP="008E02AC">
            <w:pPr>
              <w:rPr>
                <w:rFonts w:ascii="Verdana" w:hAnsi="Verdana"/>
                <w:sz w:val="24"/>
                <w:szCs w:val="24"/>
                <w:highlight w:val="yellow"/>
              </w:rPr>
            </w:pPr>
          </w:p>
        </w:tc>
        <w:tc>
          <w:tcPr>
            <w:tcW w:w="1900" w:type="dxa"/>
          </w:tcPr>
          <w:p w:rsidR="00741D8A" w:rsidRPr="0056274E" w:rsidRDefault="00741D8A" w:rsidP="008E02AC">
            <w:pPr>
              <w:rPr>
                <w:rFonts w:ascii="Verdana" w:hAnsi="Verdana"/>
                <w:sz w:val="24"/>
                <w:szCs w:val="24"/>
                <w:highlight w:val="yellow"/>
              </w:rPr>
            </w:pPr>
          </w:p>
          <w:p w:rsidR="00741D8A" w:rsidRPr="0056274E" w:rsidRDefault="001A19C7" w:rsidP="008E02AC">
            <w:pPr>
              <w:rPr>
                <w:rFonts w:ascii="Verdana" w:hAnsi="Verdana"/>
                <w:sz w:val="24"/>
                <w:szCs w:val="24"/>
                <w:highlight w:val="yellow"/>
              </w:rPr>
            </w:pPr>
            <w:r w:rsidRPr="001A19C7">
              <w:rPr>
                <w:rFonts w:ascii="Verdana" w:hAnsi="Verdana"/>
                <w:sz w:val="24"/>
                <w:szCs w:val="24"/>
              </w:rPr>
              <w:t xml:space="preserve">Innan </w:t>
            </w:r>
            <w:r w:rsidR="00741D8A" w:rsidRPr="001A19C7">
              <w:rPr>
                <w:rFonts w:ascii="Verdana" w:hAnsi="Verdana"/>
                <w:sz w:val="24"/>
                <w:szCs w:val="24"/>
              </w:rPr>
              <w:t>konfirmation</w:t>
            </w:r>
          </w:p>
        </w:tc>
        <w:tc>
          <w:tcPr>
            <w:tcW w:w="2552" w:type="dxa"/>
          </w:tcPr>
          <w:p w:rsidR="00741D8A" w:rsidRPr="0056274E" w:rsidRDefault="00741D8A" w:rsidP="008E02AC">
            <w:pPr>
              <w:rPr>
                <w:rFonts w:ascii="Verdana" w:hAnsi="Verdana"/>
                <w:sz w:val="24"/>
                <w:szCs w:val="24"/>
                <w:highlight w:val="yellow"/>
              </w:rPr>
            </w:pPr>
          </w:p>
          <w:p w:rsidR="00741D8A" w:rsidRPr="0056274E" w:rsidRDefault="00741D8A" w:rsidP="001A19C7">
            <w:pPr>
              <w:rPr>
                <w:rFonts w:ascii="Verdana" w:hAnsi="Verdana"/>
                <w:sz w:val="24"/>
                <w:szCs w:val="24"/>
                <w:highlight w:val="yellow"/>
              </w:rPr>
            </w:pPr>
            <w:r w:rsidRPr="001A19C7">
              <w:rPr>
                <w:rFonts w:ascii="Verdana" w:hAnsi="Verdana"/>
                <w:sz w:val="24"/>
                <w:szCs w:val="24"/>
              </w:rPr>
              <w:t>Konfirmandteamet bestående av präst samt pedagog.</w:t>
            </w:r>
            <w:r w:rsidR="000D13A5" w:rsidRPr="001A19C7">
              <w:rPr>
                <w:rFonts w:ascii="Verdana" w:hAnsi="Verdana"/>
                <w:sz w:val="24"/>
                <w:szCs w:val="24"/>
              </w:rPr>
              <w:t xml:space="preserve"> </w:t>
            </w:r>
          </w:p>
        </w:tc>
      </w:tr>
      <w:tr w:rsidR="00741D8A" w:rsidRPr="0056274E" w:rsidTr="007944FA">
        <w:tc>
          <w:tcPr>
            <w:tcW w:w="4610" w:type="dxa"/>
          </w:tcPr>
          <w:p w:rsidR="00741D8A" w:rsidRPr="0056274E" w:rsidRDefault="00741D8A" w:rsidP="008E02AC">
            <w:pPr>
              <w:rPr>
                <w:highlight w:val="yellow"/>
              </w:rPr>
            </w:pPr>
          </w:p>
          <w:p w:rsidR="00741D8A" w:rsidRPr="007944FA" w:rsidRDefault="007944FA" w:rsidP="008E02AC">
            <w:pPr>
              <w:rPr>
                <w:rFonts w:ascii="Verdana" w:hAnsi="Verdana"/>
                <w:sz w:val="24"/>
                <w:szCs w:val="24"/>
              </w:rPr>
            </w:pPr>
            <w:r>
              <w:rPr>
                <w:rFonts w:ascii="Verdana" w:hAnsi="Verdana"/>
                <w:sz w:val="24"/>
                <w:szCs w:val="24"/>
              </w:rPr>
              <w:t>Dopundervisning för vuxna</w:t>
            </w:r>
          </w:p>
          <w:p w:rsidR="00741D8A" w:rsidRPr="0056274E" w:rsidRDefault="00741D8A" w:rsidP="008E02AC">
            <w:pPr>
              <w:rPr>
                <w:highlight w:val="yellow"/>
              </w:rPr>
            </w:pPr>
          </w:p>
          <w:p w:rsidR="00741D8A" w:rsidRPr="0056274E" w:rsidRDefault="00741D8A" w:rsidP="008E02AC">
            <w:pPr>
              <w:rPr>
                <w:highlight w:val="yellow"/>
              </w:rPr>
            </w:pPr>
          </w:p>
          <w:p w:rsidR="00741D8A" w:rsidRPr="0056274E" w:rsidRDefault="00741D8A" w:rsidP="008E02AC">
            <w:pPr>
              <w:rPr>
                <w:highlight w:val="yellow"/>
              </w:rPr>
            </w:pPr>
          </w:p>
        </w:tc>
        <w:tc>
          <w:tcPr>
            <w:tcW w:w="1900" w:type="dxa"/>
          </w:tcPr>
          <w:p w:rsidR="00741D8A" w:rsidRPr="0056274E" w:rsidRDefault="00741D8A" w:rsidP="008E02AC">
            <w:pPr>
              <w:rPr>
                <w:highlight w:val="yellow"/>
              </w:rPr>
            </w:pPr>
          </w:p>
          <w:p w:rsidR="00741D8A" w:rsidRPr="0056274E" w:rsidRDefault="007944FA" w:rsidP="008E02AC">
            <w:pPr>
              <w:rPr>
                <w:rFonts w:ascii="Verdana" w:hAnsi="Verdana"/>
                <w:sz w:val="24"/>
                <w:szCs w:val="24"/>
                <w:highlight w:val="yellow"/>
              </w:rPr>
            </w:pPr>
            <w:r w:rsidRPr="007944FA">
              <w:rPr>
                <w:rFonts w:ascii="Verdana" w:hAnsi="Verdana"/>
                <w:sz w:val="24"/>
                <w:szCs w:val="24"/>
              </w:rPr>
              <w:t>Vid önskemål</w:t>
            </w:r>
          </w:p>
        </w:tc>
        <w:tc>
          <w:tcPr>
            <w:tcW w:w="2552" w:type="dxa"/>
          </w:tcPr>
          <w:p w:rsidR="00741D8A" w:rsidRPr="0056274E" w:rsidRDefault="00741D8A" w:rsidP="008E02AC">
            <w:pPr>
              <w:rPr>
                <w:highlight w:val="yellow"/>
              </w:rPr>
            </w:pPr>
          </w:p>
          <w:p w:rsidR="00741D8A" w:rsidRPr="0056274E" w:rsidRDefault="007944FA" w:rsidP="008E02AC">
            <w:pPr>
              <w:rPr>
                <w:rFonts w:ascii="Verdana" w:hAnsi="Verdana"/>
                <w:sz w:val="24"/>
                <w:szCs w:val="24"/>
                <w:highlight w:val="yellow"/>
              </w:rPr>
            </w:pPr>
            <w:r w:rsidRPr="007944FA">
              <w:rPr>
                <w:rFonts w:ascii="Verdana" w:hAnsi="Verdana"/>
                <w:sz w:val="24"/>
                <w:szCs w:val="24"/>
              </w:rPr>
              <w:t>Präst</w:t>
            </w:r>
          </w:p>
        </w:tc>
      </w:tr>
      <w:tr w:rsidR="00741D8A" w:rsidRPr="0056274E" w:rsidTr="007944FA">
        <w:trPr>
          <w:trHeight w:val="803"/>
        </w:trPr>
        <w:tc>
          <w:tcPr>
            <w:tcW w:w="4610" w:type="dxa"/>
            <w:shd w:val="clear" w:color="auto" w:fill="BFBFBF" w:themeFill="background1" w:themeFillShade="BF"/>
          </w:tcPr>
          <w:p w:rsidR="00741D8A" w:rsidRPr="0056274E" w:rsidRDefault="00741D8A" w:rsidP="008E02AC">
            <w:pPr>
              <w:rPr>
                <w:rFonts w:ascii="Verdana" w:hAnsi="Verdana"/>
                <w:sz w:val="32"/>
                <w:szCs w:val="32"/>
                <w:highlight w:val="yellow"/>
              </w:rPr>
            </w:pPr>
            <w:r w:rsidRPr="001A19C7">
              <w:rPr>
                <w:rFonts w:ascii="Verdana" w:hAnsi="Verdana"/>
                <w:sz w:val="32"/>
                <w:szCs w:val="32"/>
              </w:rPr>
              <w:t>Genomförande av dop</w:t>
            </w:r>
          </w:p>
        </w:tc>
        <w:tc>
          <w:tcPr>
            <w:tcW w:w="1900" w:type="dxa"/>
            <w:shd w:val="clear" w:color="auto" w:fill="BFBFBF" w:themeFill="background1" w:themeFillShade="BF"/>
          </w:tcPr>
          <w:p w:rsidR="00741D8A" w:rsidRPr="0056274E" w:rsidRDefault="00741D8A" w:rsidP="008E02AC">
            <w:pPr>
              <w:rPr>
                <w:highlight w:val="yellow"/>
              </w:rPr>
            </w:pPr>
          </w:p>
        </w:tc>
        <w:tc>
          <w:tcPr>
            <w:tcW w:w="2552" w:type="dxa"/>
            <w:shd w:val="clear" w:color="auto" w:fill="BFBFBF" w:themeFill="background1" w:themeFillShade="BF"/>
          </w:tcPr>
          <w:p w:rsidR="00741D8A" w:rsidRPr="0056274E" w:rsidRDefault="00741D8A" w:rsidP="008E02AC">
            <w:pPr>
              <w:rPr>
                <w:highlight w:val="yellow"/>
              </w:rPr>
            </w:pPr>
          </w:p>
        </w:tc>
      </w:tr>
      <w:tr w:rsidR="00741D8A" w:rsidRPr="0056274E" w:rsidTr="007944FA">
        <w:tc>
          <w:tcPr>
            <w:tcW w:w="4610" w:type="dxa"/>
            <w:shd w:val="clear" w:color="auto" w:fill="BFBFBF" w:themeFill="background1" w:themeFillShade="BF"/>
          </w:tcPr>
          <w:p w:rsidR="00741D8A" w:rsidRPr="001A19C7" w:rsidRDefault="00741D8A" w:rsidP="008E02AC">
            <w:pPr>
              <w:rPr>
                <w:rFonts w:ascii="Verdana" w:hAnsi="Verdana"/>
                <w:sz w:val="20"/>
                <w:szCs w:val="20"/>
              </w:rPr>
            </w:pPr>
            <w:r w:rsidRPr="001A19C7">
              <w:rPr>
                <w:rFonts w:ascii="Verdana" w:hAnsi="Verdana"/>
                <w:sz w:val="20"/>
                <w:szCs w:val="20"/>
              </w:rPr>
              <w:t>Aktivitet</w:t>
            </w:r>
          </w:p>
        </w:tc>
        <w:tc>
          <w:tcPr>
            <w:tcW w:w="1900" w:type="dxa"/>
            <w:shd w:val="clear" w:color="auto" w:fill="BFBFBF" w:themeFill="background1" w:themeFillShade="BF"/>
          </w:tcPr>
          <w:p w:rsidR="00741D8A" w:rsidRPr="001A19C7" w:rsidRDefault="00741D8A" w:rsidP="008E02AC">
            <w:pPr>
              <w:rPr>
                <w:rFonts w:ascii="Verdana" w:hAnsi="Verdana"/>
              </w:rPr>
            </w:pPr>
            <w:r w:rsidRPr="001A19C7">
              <w:rPr>
                <w:rFonts w:ascii="Verdana" w:hAnsi="Verdana"/>
              </w:rPr>
              <w:t>När</w:t>
            </w:r>
          </w:p>
        </w:tc>
        <w:tc>
          <w:tcPr>
            <w:tcW w:w="2552" w:type="dxa"/>
            <w:shd w:val="clear" w:color="auto" w:fill="BFBFBF" w:themeFill="background1" w:themeFillShade="BF"/>
          </w:tcPr>
          <w:p w:rsidR="00741D8A" w:rsidRPr="001A19C7" w:rsidRDefault="00741D8A" w:rsidP="008E02AC">
            <w:pPr>
              <w:rPr>
                <w:rFonts w:ascii="Verdana" w:hAnsi="Verdana"/>
                <w:sz w:val="20"/>
                <w:szCs w:val="20"/>
              </w:rPr>
            </w:pPr>
            <w:r w:rsidRPr="001A19C7">
              <w:rPr>
                <w:rFonts w:ascii="Verdana" w:hAnsi="Verdana"/>
                <w:sz w:val="20"/>
                <w:szCs w:val="20"/>
              </w:rPr>
              <w:t>Ansvarig</w:t>
            </w:r>
          </w:p>
        </w:tc>
      </w:tr>
      <w:tr w:rsidR="00741D8A" w:rsidRPr="0056274E" w:rsidTr="007944FA">
        <w:tc>
          <w:tcPr>
            <w:tcW w:w="4610" w:type="dxa"/>
          </w:tcPr>
          <w:p w:rsidR="00741D8A" w:rsidRPr="001A19C7" w:rsidRDefault="00741D8A" w:rsidP="008E02AC"/>
          <w:p w:rsidR="00741D8A" w:rsidRPr="001A19C7" w:rsidRDefault="00741D8A" w:rsidP="008E02AC">
            <w:pPr>
              <w:rPr>
                <w:rFonts w:ascii="Verdana" w:hAnsi="Verdana"/>
                <w:sz w:val="24"/>
                <w:szCs w:val="24"/>
              </w:rPr>
            </w:pPr>
            <w:r w:rsidRPr="001A19C7">
              <w:rPr>
                <w:rFonts w:ascii="Verdana" w:hAnsi="Verdana"/>
                <w:sz w:val="24"/>
                <w:szCs w:val="24"/>
              </w:rPr>
              <w:t>Pastoratets dopbevis och fadderbrev</w:t>
            </w:r>
          </w:p>
          <w:p w:rsidR="00741D8A" w:rsidRPr="001A19C7" w:rsidRDefault="00741D8A" w:rsidP="008E02AC"/>
          <w:p w:rsidR="00741D8A" w:rsidRPr="001A19C7" w:rsidRDefault="00741D8A" w:rsidP="008E02AC"/>
          <w:p w:rsidR="00741D8A" w:rsidRPr="001A19C7" w:rsidRDefault="00741D8A" w:rsidP="008E02AC"/>
          <w:p w:rsidR="00741D8A" w:rsidRPr="001A19C7" w:rsidRDefault="00741D8A" w:rsidP="008E02AC"/>
          <w:p w:rsidR="00741D8A" w:rsidRPr="001A19C7" w:rsidRDefault="00741D8A" w:rsidP="008E02AC"/>
        </w:tc>
        <w:tc>
          <w:tcPr>
            <w:tcW w:w="1900" w:type="dxa"/>
          </w:tcPr>
          <w:p w:rsidR="00741D8A" w:rsidRPr="001A19C7" w:rsidRDefault="00741D8A" w:rsidP="008E02AC">
            <w:pPr>
              <w:rPr>
                <w:rFonts w:ascii="Verdana" w:hAnsi="Verdana"/>
                <w:sz w:val="24"/>
                <w:szCs w:val="24"/>
              </w:rPr>
            </w:pPr>
          </w:p>
          <w:p w:rsidR="00741D8A" w:rsidRPr="001A19C7" w:rsidRDefault="00741D8A" w:rsidP="008E02AC">
            <w:pPr>
              <w:rPr>
                <w:rFonts w:ascii="Verdana" w:hAnsi="Verdana"/>
                <w:sz w:val="24"/>
                <w:szCs w:val="24"/>
              </w:rPr>
            </w:pPr>
            <w:r w:rsidRPr="001A19C7">
              <w:rPr>
                <w:rFonts w:ascii="Verdana" w:hAnsi="Verdana"/>
                <w:sz w:val="24"/>
                <w:szCs w:val="24"/>
              </w:rPr>
              <w:t>Löpande</w:t>
            </w:r>
          </w:p>
        </w:tc>
        <w:tc>
          <w:tcPr>
            <w:tcW w:w="2552" w:type="dxa"/>
          </w:tcPr>
          <w:p w:rsidR="00741D8A" w:rsidRPr="001A19C7" w:rsidRDefault="00741D8A" w:rsidP="008E02AC"/>
          <w:p w:rsidR="00741D8A" w:rsidRPr="001A19C7" w:rsidRDefault="00741D8A" w:rsidP="008E02AC">
            <w:pPr>
              <w:rPr>
                <w:rFonts w:ascii="Verdana" w:hAnsi="Verdana"/>
                <w:sz w:val="24"/>
                <w:szCs w:val="24"/>
              </w:rPr>
            </w:pPr>
            <w:r w:rsidRPr="001A19C7">
              <w:rPr>
                <w:rFonts w:ascii="Verdana" w:hAnsi="Verdana"/>
                <w:sz w:val="24"/>
                <w:szCs w:val="24"/>
              </w:rPr>
              <w:t>Kommunikatören beställer.</w:t>
            </w:r>
          </w:p>
          <w:p w:rsidR="00741D8A" w:rsidRPr="001A19C7" w:rsidRDefault="00741D8A" w:rsidP="008E02AC">
            <w:pPr>
              <w:rPr>
                <w:rFonts w:ascii="Verdana" w:hAnsi="Verdana"/>
                <w:sz w:val="24"/>
                <w:szCs w:val="24"/>
              </w:rPr>
            </w:pPr>
            <w:r w:rsidRPr="001A19C7">
              <w:rPr>
                <w:rFonts w:ascii="Verdana" w:hAnsi="Verdana"/>
                <w:sz w:val="24"/>
                <w:szCs w:val="24"/>
              </w:rPr>
              <w:t>Tjänstgörande präst ansvarar för att materialet finns i lokaler där dop genomförs.</w:t>
            </w:r>
          </w:p>
          <w:p w:rsidR="00741D8A" w:rsidRPr="001A19C7" w:rsidRDefault="00741D8A" w:rsidP="008E02AC">
            <w:pPr>
              <w:rPr>
                <w:rFonts w:ascii="Verdana" w:hAnsi="Verdana"/>
                <w:sz w:val="24"/>
                <w:szCs w:val="24"/>
              </w:rPr>
            </w:pPr>
          </w:p>
        </w:tc>
      </w:tr>
      <w:tr w:rsidR="00741D8A" w:rsidRPr="0056274E" w:rsidTr="007944FA">
        <w:tc>
          <w:tcPr>
            <w:tcW w:w="4610" w:type="dxa"/>
          </w:tcPr>
          <w:p w:rsidR="00741D8A" w:rsidRPr="001A19C7" w:rsidRDefault="00741D8A" w:rsidP="008E02AC"/>
          <w:p w:rsidR="00741D8A" w:rsidRPr="001A19C7" w:rsidRDefault="00741D8A" w:rsidP="008E02AC">
            <w:pPr>
              <w:rPr>
                <w:rFonts w:ascii="Verdana" w:hAnsi="Verdana"/>
                <w:sz w:val="24"/>
                <w:szCs w:val="24"/>
              </w:rPr>
            </w:pPr>
            <w:r w:rsidRPr="001A19C7">
              <w:rPr>
                <w:rFonts w:ascii="Verdana" w:hAnsi="Verdana"/>
                <w:sz w:val="24"/>
                <w:szCs w:val="24"/>
              </w:rPr>
              <w:t>Inköp av dopljus och dopljusstakar</w:t>
            </w:r>
          </w:p>
          <w:p w:rsidR="00741D8A" w:rsidRPr="001A19C7" w:rsidRDefault="00741D8A" w:rsidP="008E02AC"/>
          <w:p w:rsidR="00741D8A" w:rsidRPr="001A19C7" w:rsidRDefault="00741D8A" w:rsidP="008E02AC"/>
        </w:tc>
        <w:tc>
          <w:tcPr>
            <w:tcW w:w="1900" w:type="dxa"/>
          </w:tcPr>
          <w:p w:rsidR="00741D8A" w:rsidRPr="001A19C7" w:rsidRDefault="00741D8A" w:rsidP="008E02AC">
            <w:pPr>
              <w:rPr>
                <w:rFonts w:ascii="Verdana" w:hAnsi="Verdana"/>
                <w:sz w:val="24"/>
                <w:szCs w:val="24"/>
              </w:rPr>
            </w:pPr>
          </w:p>
          <w:p w:rsidR="00741D8A" w:rsidRPr="001A19C7" w:rsidRDefault="00741D8A" w:rsidP="008E02AC">
            <w:pPr>
              <w:rPr>
                <w:rFonts w:ascii="Verdana" w:hAnsi="Verdana"/>
                <w:sz w:val="24"/>
                <w:szCs w:val="24"/>
              </w:rPr>
            </w:pPr>
            <w:r w:rsidRPr="001A19C7">
              <w:rPr>
                <w:rFonts w:ascii="Verdana" w:hAnsi="Verdana"/>
                <w:sz w:val="24"/>
                <w:szCs w:val="24"/>
              </w:rPr>
              <w:t>Löpande</w:t>
            </w:r>
          </w:p>
        </w:tc>
        <w:tc>
          <w:tcPr>
            <w:tcW w:w="2552" w:type="dxa"/>
          </w:tcPr>
          <w:p w:rsidR="00741D8A" w:rsidRPr="001A19C7" w:rsidRDefault="00741D8A" w:rsidP="008E02AC">
            <w:pPr>
              <w:rPr>
                <w:rFonts w:ascii="Verdana" w:hAnsi="Verdana"/>
                <w:sz w:val="24"/>
                <w:szCs w:val="24"/>
              </w:rPr>
            </w:pPr>
          </w:p>
          <w:p w:rsidR="00741D8A" w:rsidRPr="001A19C7" w:rsidRDefault="00741D8A" w:rsidP="008E02AC">
            <w:pPr>
              <w:rPr>
                <w:rFonts w:ascii="Verdana" w:hAnsi="Verdana"/>
                <w:sz w:val="24"/>
                <w:szCs w:val="24"/>
              </w:rPr>
            </w:pPr>
            <w:r w:rsidRPr="001A19C7">
              <w:rPr>
                <w:rFonts w:ascii="Verdana" w:hAnsi="Verdana"/>
                <w:sz w:val="24"/>
                <w:szCs w:val="24"/>
              </w:rPr>
              <w:t>Vaktmästare</w:t>
            </w:r>
          </w:p>
        </w:tc>
      </w:tr>
      <w:tr w:rsidR="00741D8A" w:rsidRPr="0056274E" w:rsidTr="007944FA">
        <w:tc>
          <w:tcPr>
            <w:tcW w:w="4610" w:type="dxa"/>
          </w:tcPr>
          <w:p w:rsidR="00741D8A" w:rsidRPr="001A19C7" w:rsidRDefault="00741D8A" w:rsidP="008E02AC"/>
          <w:p w:rsidR="00741D8A" w:rsidRPr="001A19C7" w:rsidRDefault="00741D8A" w:rsidP="008E02AC">
            <w:pPr>
              <w:rPr>
                <w:rFonts w:ascii="Verdana" w:hAnsi="Verdana"/>
                <w:sz w:val="24"/>
                <w:szCs w:val="24"/>
              </w:rPr>
            </w:pPr>
            <w:r w:rsidRPr="001A19C7">
              <w:rPr>
                <w:rFonts w:ascii="Verdana" w:hAnsi="Verdana"/>
                <w:sz w:val="24"/>
                <w:szCs w:val="24"/>
              </w:rPr>
              <w:t xml:space="preserve">Dopvärdar </w:t>
            </w:r>
          </w:p>
          <w:p w:rsidR="00741D8A" w:rsidRPr="001A19C7" w:rsidRDefault="00741D8A" w:rsidP="008E02AC"/>
          <w:p w:rsidR="00741D8A" w:rsidRPr="001A19C7" w:rsidRDefault="00741D8A" w:rsidP="008E02AC"/>
        </w:tc>
        <w:tc>
          <w:tcPr>
            <w:tcW w:w="1900" w:type="dxa"/>
          </w:tcPr>
          <w:p w:rsidR="00741D8A" w:rsidRPr="001A19C7" w:rsidRDefault="00741D8A" w:rsidP="008E02AC">
            <w:pPr>
              <w:rPr>
                <w:rFonts w:ascii="Verdana" w:hAnsi="Verdana"/>
                <w:sz w:val="24"/>
                <w:szCs w:val="24"/>
              </w:rPr>
            </w:pPr>
          </w:p>
          <w:p w:rsidR="00741D8A" w:rsidRPr="001A19C7" w:rsidRDefault="00741D8A" w:rsidP="008E02AC">
            <w:pPr>
              <w:rPr>
                <w:rFonts w:ascii="Verdana" w:hAnsi="Verdana"/>
                <w:sz w:val="24"/>
                <w:szCs w:val="24"/>
              </w:rPr>
            </w:pPr>
            <w:r w:rsidRPr="001A19C7">
              <w:rPr>
                <w:rFonts w:ascii="Verdana" w:hAnsi="Verdana"/>
                <w:sz w:val="24"/>
                <w:szCs w:val="24"/>
              </w:rPr>
              <w:t>Löpande</w:t>
            </w:r>
          </w:p>
        </w:tc>
        <w:tc>
          <w:tcPr>
            <w:tcW w:w="2552" w:type="dxa"/>
          </w:tcPr>
          <w:p w:rsidR="00741D8A" w:rsidRPr="001A19C7" w:rsidRDefault="00741D8A" w:rsidP="008E02AC">
            <w:pPr>
              <w:rPr>
                <w:rFonts w:ascii="Verdana" w:hAnsi="Verdana"/>
                <w:sz w:val="24"/>
                <w:szCs w:val="24"/>
              </w:rPr>
            </w:pPr>
          </w:p>
          <w:p w:rsidR="00741D8A" w:rsidRPr="001A19C7" w:rsidRDefault="001A19C7" w:rsidP="008E02AC">
            <w:pPr>
              <w:rPr>
                <w:rFonts w:ascii="Verdana" w:hAnsi="Verdana"/>
                <w:sz w:val="24"/>
                <w:szCs w:val="24"/>
              </w:rPr>
            </w:pPr>
            <w:r>
              <w:rPr>
                <w:rFonts w:ascii="Verdana" w:hAnsi="Verdana"/>
                <w:sz w:val="24"/>
                <w:szCs w:val="24"/>
              </w:rPr>
              <w:t>Pedagog</w:t>
            </w:r>
          </w:p>
        </w:tc>
      </w:tr>
      <w:tr w:rsidR="00741D8A" w:rsidRPr="0056274E" w:rsidTr="007944FA">
        <w:tc>
          <w:tcPr>
            <w:tcW w:w="4610" w:type="dxa"/>
          </w:tcPr>
          <w:p w:rsidR="00741D8A" w:rsidRPr="0056274E" w:rsidRDefault="00741D8A" w:rsidP="008E02AC">
            <w:pPr>
              <w:rPr>
                <w:rFonts w:ascii="Verdana" w:hAnsi="Verdana"/>
                <w:sz w:val="24"/>
                <w:szCs w:val="24"/>
                <w:highlight w:val="yellow"/>
              </w:rPr>
            </w:pPr>
          </w:p>
          <w:p w:rsidR="00741D8A" w:rsidRDefault="001A19C7" w:rsidP="001A19C7">
            <w:pPr>
              <w:rPr>
                <w:rFonts w:ascii="Verdana" w:hAnsi="Verdana"/>
                <w:sz w:val="24"/>
                <w:szCs w:val="24"/>
              </w:rPr>
            </w:pPr>
            <w:r>
              <w:rPr>
                <w:rFonts w:ascii="Verdana" w:hAnsi="Verdana"/>
                <w:sz w:val="24"/>
                <w:szCs w:val="24"/>
              </w:rPr>
              <w:t>Dopglob</w:t>
            </w:r>
          </w:p>
          <w:p w:rsidR="001A19C7" w:rsidRPr="001A19C7" w:rsidRDefault="001A19C7" w:rsidP="001A19C7">
            <w:pPr>
              <w:rPr>
                <w:rFonts w:ascii="Verdana" w:hAnsi="Verdana"/>
                <w:sz w:val="24"/>
                <w:szCs w:val="24"/>
              </w:rPr>
            </w:pPr>
          </w:p>
        </w:tc>
        <w:tc>
          <w:tcPr>
            <w:tcW w:w="1900" w:type="dxa"/>
          </w:tcPr>
          <w:p w:rsidR="00741D8A" w:rsidRPr="001A19C7" w:rsidRDefault="00741D8A" w:rsidP="008E02AC">
            <w:pPr>
              <w:rPr>
                <w:rFonts w:ascii="Verdana" w:hAnsi="Verdana"/>
                <w:sz w:val="24"/>
                <w:szCs w:val="24"/>
              </w:rPr>
            </w:pPr>
          </w:p>
          <w:p w:rsidR="00741D8A" w:rsidRPr="001A19C7" w:rsidRDefault="001A19C7" w:rsidP="008E02AC">
            <w:pPr>
              <w:rPr>
                <w:rFonts w:ascii="Verdana" w:hAnsi="Verdana"/>
                <w:sz w:val="24"/>
                <w:szCs w:val="24"/>
              </w:rPr>
            </w:pPr>
            <w:r w:rsidRPr="001A19C7">
              <w:rPr>
                <w:rFonts w:ascii="Verdana" w:hAnsi="Verdana"/>
                <w:sz w:val="24"/>
                <w:szCs w:val="24"/>
              </w:rPr>
              <w:t>Löpande</w:t>
            </w:r>
          </w:p>
        </w:tc>
        <w:tc>
          <w:tcPr>
            <w:tcW w:w="2552" w:type="dxa"/>
          </w:tcPr>
          <w:p w:rsidR="00741D8A" w:rsidRPr="001A19C7" w:rsidRDefault="00741D8A" w:rsidP="008E02AC">
            <w:pPr>
              <w:rPr>
                <w:rFonts w:ascii="Verdana" w:hAnsi="Verdana"/>
                <w:sz w:val="24"/>
                <w:szCs w:val="24"/>
              </w:rPr>
            </w:pPr>
          </w:p>
          <w:p w:rsidR="00741D8A" w:rsidRPr="001A19C7" w:rsidRDefault="001A19C7" w:rsidP="008E02AC">
            <w:pPr>
              <w:rPr>
                <w:rFonts w:ascii="Verdana" w:hAnsi="Verdana"/>
                <w:sz w:val="24"/>
                <w:szCs w:val="24"/>
              </w:rPr>
            </w:pPr>
            <w:r w:rsidRPr="001A19C7">
              <w:rPr>
                <w:rFonts w:ascii="Verdana" w:hAnsi="Verdana"/>
                <w:sz w:val="24"/>
                <w:szCs w:val="24"/>
              </w:rPr>
              <w:t>Pedagog tillsammans med vaktmästare</w:t>
            </w:r>
          </w:p>
        </w:tc>
      </w:tr>
      <w:tr w:rsidR="00741D8A" w:rsidRPr="0056274E" w:rsidTr="007944FA">
        <w:tc>
          <w:tcPr>
            <w:tcW w:w="4610" w:type="dxa"/>
            <w:shd w:val="clear" w:color="auto" w:fill="BFBFBF" w:themeFill="background1" w:themeFillShade="BF"/>
          </w:tcPr>
          <w:p w:rsidR="00741D8A" w:rsidRPr="001A19C7" w:rsidRDefault="00741D8A" w:rsidP="008E02AC">
            <w:pPr>
              <w:rPr>
                <w:rFonts w:ascii="Verdana" w:hAnsi="Verdana"/>
                <w:sz w:val="32"/>
                <w:szCs w:val="32"/>
              </w:rPr>
            </w:pPr>
            <w:r w:rsidRPr="001A19C7">
              <w:rPr>
                <w:rFonts w:ascii="Verdana" w:hAnsi="Verdana"/>
                <w:sz w:val="32"/>
                <w:szCs w:val="32"/>
              </w:rPr>
              <w:t>Uppföljning av dop</w:t>
            </w:r>
          </w:p>
        </w:tc>
        <w:tc>
          <w:tcPr>
            <w:tcW w:w="1900" w:type="dxa"/>
            <w:shd w:val="clear" w:color="auto" w:fill="BFBFBF" w:themeFill="background1" w:themeFillShade="BF"/>
          </w:tcPr>
          <w:p w:rsidR="00741D8A" w:rsidRPr="001A19C7" w:rsidRDefault="00741D8A" w:rsidP="008E02AC"/>
        </w:tc>
        <w:tc>
          <w:tcPr>
            <w:tcW w:w="2552" w:type="dxa"/>
            <w:shd w:val="clear" w:color="auto" w:fill="BFBFBF" w:themeFill="background1" w:themeFillShade="BF"/>
          </w:tcPr>
          <w:p w:rsidR="00741D8A" w:rsidRPr="001A19C7" w:rsidRDefault="00741D8A" w:rsidP="008E02AC"/>
        </w:tc>
      </w:tr>
      <w:tr w:rsidR="00741D8A" w:rsidRPr="0056274E" w:rsidTr="007944FA">
        <w:tc>
          <w:tcPr>
            <w:tcW w:w="4610" w:type="dxa"/>
            <w:shd w:val="clear" w:color="auto" w:fill="BFBFBF" w:themeFill="background1" w:themeFillShade="BF"/>
          </w:tcPr>
          <w:p w:rsidR="00741D8A" w:rsidRPr="001A19C7" w:rsidRDefault="00741D8A" w:rsidP="008E02AC">
            <w:pPr>
              <w:rPr>
                <w:rFonts w:ascii="Verdana" w:hAnsi="Verdana"/>
                <w:sz w:val="20"/>
                <w:szCs w:val="20"/>
              </w:rPr>
            </w:pPr>
            <w:r w:rsidRPr="001A19C7">
              <w:rPr>
                <w:rFonts w:ascii="Verdana" w:hAnsi="Verdana"/>
                <w:sz w:val="20"/>
                <w:szCs w:val="20"/>
              </w:rPr>
              <w:t>Aktivitet</w:t>
            </w:r>
          </w:p>
        </w:tc>
        <w:tc>
          <w:tcPr>
            <w:tcW w:w="1900" w:type="dxa"/>
            <w:shd w:val="clear" w:color="auto" w:fill="BFBFBF" w:themeFill="background1" w:themeFillShade="BF"/>
          </w:tcPr>
          <w:p w:rsidR="00741D8A" w:rsidRPr="001A19C7" w:rsidRDefault="00741D8A" w:rsidP="008E02AC">
            <w:pPr>
              <w:rPr>
                <w:rFonts w:ascii="Verdana" w:hAnsi="Verdana"/>
              </w:rPr>
            </w:pPr>
            <w:r w:rsidRPr="001A19C7">
              <w:rPr>
                <w:rFonts w:ascii="Verdana" w:hAnsi="Verdana"/>
              </w:rPr>
              <w:t>När</w:t>
            </w:r>
          </w:p>
        </w:tc>
        <w:tc>
          <w:tcPr>
            <w:tcW w:w="2552" w:type="dxa"/>
            <w:shd w:val="clear" w:color="auto" w:fill="BFBFBF" w:themeFill="background1" w:themeFillShade="BF"/>
          </w:tcPr>
          <w:p w:rsidR="00741D8A" w:rsidRPr="001A19C7" w:rsidRDefault="00741D8A" w:rsidP="008E02AC">
            <w:pPr>
              <w:rPr>
                <w:rFonts w:ascii="Verdana" w:hAnsi="Verdana"/>
                <w:sz w:val="20"/>
                <w:szCs w:val="20"/>
              </w:rPr>
            </w:pPr>
            <w:r w:rsidRPr="001A19C7">
              <w:rPr>
                <w:rFonts w:ascii="Verdana" w:hAnsi="Verdana"/>
                <w:sz w:val="20"/>
                <w:szCs w:val="20"/>
              </w:rPr>
              <w:t>Ansvarig</w:t>
            </w:r>
          </w:p>
        </w:tc>
      </w:tr>
      <w:tr w:rsidR="00741D8A" w:rsidRPr="0056274E" w:rsidTr="007944FA">
        <w:tc>
          <w:tcPr>
            <w:tcW w:w="4610" w:type="dxa"/>
            <w:shd w:val="clear" w:color="auto" w:fill="FFFFFF" w:themeFill="background1"/>
          </w:tcPr>
          <w:p w:rsidR="00741D8A" w:rsidRPr="001A19C7" w:rsidRDefault="00741D8A" w:rsidP="008E02AC">
            <w:pPr>
              <w:rPr>
                <w:rFonts w:ascii="Verdana" w:hAnsi="Verdana"/>
                <w:sz w:val="24"/>
                <w:szCs w:val="24"/>
              </w:rPr>
            </w:pPr>
          </w:p>
          <w:p w:rsidR="00741D8A" w:rsidRPr="001A19C7" w:rsidRDefault="00741D8A" w:rsidP="008E02AC">
            <w:pPr>
              <w:rPr>
                <w:rFonts w:ascii="Verdana" w:hAnsi="Verdana"/>
                <w:sz w:val="24"/>
                <w:szCs w:val="24"/>
              </w:rPr>
            </w:pPr>
            <w:r w:rsidRPr="001A19C7">
              <w:rPr>
                <w:rFonts w:ascii="Verdana" w:hAnsi="Verdana"/>
                <w:sz w:val="24"/>
                <w:szCs w:val="24"/>
              </w:rPr>
              <w:t>Dopfest i båda församlingarna för inbjudna döpta 1, 3, 5 år efter sitt dop.</w:t>
            </w:r>
          </w:p>
          <w:p w:rsidR="00741D8A" w:rsidRPr="001A19C7" w:rsidRDefault="00741D8A" w:rsidP="008E02AC">
            <w:pPr>
              <w:rPr>
                <w:rFonts w:ascii="Verdana" w:hAnsi="Verdana"/>
                <w:sz w:val="24"/>
                <w:szCs w:val="24"/>
              </w:rPr>
            </w:pPr>
          </w:p>
          <w:p w:rsidR="00741D8A" w:rsidRPr="001A19C7" w:rsidRDefault="00741D8A" w:rsidP="008E02AC">
            <w:pPr>
              <w:rPr>
                <w:rFonts w:ascii="Verdana" w:hAnsi="Verdana"/>
                <w:sz w:val="24"/>
                <w:szCs w:val="24"/>
              </w:rPr>
            </w:pPr>
          </w:p>
          <w:p w:rsidR="00741D8A" w:rsidRPr="001A19C7" w:rsidRDefault="00741D8A" w:rsidP="008E02AC">
            <w:pPr>
              <w:rPr>
                <w:rFonts w:ascii="Verdana" w:hAnsi="Verdana"/>
                <w:sz w:val="24"/>
                <w:szCs w:val="24"/>
              </w:rPr>
            </w:pPr>
          </w:p>
          <w:p w:rsidR="00741D8A" w:rsidRPr="001A19C7" w:rsidRDefault="00741D8A" w:rsidP="008E02AC">
            <w:pPr>
              <w:rPr>
                <w:rFonts w:ascii="Verdana" w:hAnsi="Verdana"/>
                <w:sz w:val="24"/>
                <w:szCs w:val="24"/>
              </w:rPr>
            </w:pPr>
          </w:p>
          <w:p w:rsidR="00741D8A" w:rsidRPr="001A19C7" w:rsidRDefault="00741D8A" w:rsidP="008E02AC">
            <w:pPr>
              <w:rPr>
                <w:rFonts w:ascii="Verdana" w:hAnsi="Verdana"/>
                <w:sz w:val="24"/>
                <w:szCs w:val="24"/>
              </w:rPr>
            </w:pPr>
          </w:p>
          <w:p w:rsidR="00741D8A" w:rsidRPr="001A19C7" w:rsidRDefault="00741D8A" w:rsidP="008E02AC">
            <w:pPr>
              <w:rPr>
                <w:rFonts w:ascii="Verdana" w:hAnsi="Verdana"/>
                <w:sz w:val="24"/>
                <w:szCs w:val="24"/>
              </w:rPr>
            </w:pPr>
          </w:p>
          <w:p w:rsidR="00741D8A" w:rsidRPr="001A19C7" w:rsidRDefault="00741D8A" w:rsidP="008E02AC">
            <w:pPr>
              <w:rPr>
                <w:rFonts w:ascii="Verdana" w:hAnsi="Verdana"/>
                <w:sz w:val="24"/>
                <w:szCs w:val="24"/>
              </w:rPr>
            </w:pPr>
          </w:p>
        </w:tc>
        <w:tc>
          <w:tcPr>
            <w:tcW w:w="1900" w:type="dxa"/>
            <w:shd w:val="clear" w:color="auto" w:fill="FFFFFF" w:themeFill="background1"/>
          </w:tcPr>
          <w:p w:rsidR="00741D8A" w:rsidRPr="001A19C7" w:rsidRDefault="00741D8A" w:rsidP="008E02AC">
            <w:pPr>
              <w:rPr>
                <w:rFonts w:ascii="Verdana" w:hAnsi="Verdana"/>
                <w:sz w:val="24"/>
                <w:szCs w:val="24"/>
              </w:rPr>
            </w:pPr>
          </w:p>
          <w:p w:rsidR="00741D8A" w:rsidRPr="001A19C7" w:rsidRDefault="00741D8A" w:rsidP="008E02AC">
            <w:pPr>
              <w:rPr>
                <w:rFonts w:ascii="Verdana" w:hAnsi="Verdana"/>
                <w:sz w:val="24"/>
                <w:szCs w:val="24"/>
              </w:rPr>
            </w:pPr>
            <w:r w:rsidRPr="001A19C7">
              <w:rPr>
                <w:rFonts w:ascii="Verdana" w:hAnsi="Verdana"/>
                <w:sz w:val="24"/>
                <w:szCs w:val="24"/>
              </w:rPr>
              <w:t>1 gång per år</w:t>
            </w:r>
          </w:p>
        </w:tc>
        <w:tc>
          <w:tcPr>
            <w:tcW w:w="2552" w:type="dxa"/>
            <w:shd w:val="clear" w:color="auto" w:fill="FFFFFF" w:themeFill="background1"/>
          </w:tcPr>
          <w:p w:rsidR="00741D8A" w:rsidRPr="001A19C7" w:rsidRDefault="00741D8A" w:rsidP="008E02AC">
            <w:pPr>
              <w:rPr>
                <w:rFonts w:ascii="Verdana" w:hAnsi="Verdana"/>
                <w:sz w:val="24"/>
                <w:szCs w:val="24"/>
              </w:rPr>
            </w:pPr>
          </w:p>
          <w:p w:rsidR="00741D8A" w:rsidRPr="001A19C7" w:rsidRDefault="00741D8A" w:rsidP="008E02AC">
            <w:pPr>
              <w:rPr>
                <w:rFonts w:ascii="Verdana" w:hAnsi="Verdana"/>
                <w:sz w:val="24"/>
                <w:szCs w:val="24"/>
              </w:rPr>
            </w:pPr>
            <w:r w:rsidRPr="001A19C7">
              <w:rPr>
                <w:rFonts w:ascii="Verdana" w:hAnsi="Verdana"/>
                <w:sz w:val="24"/>
                <w:szCs w:val="24"/>
              </w:rPr>
              <w:t>Adressunderlag tas fram av kommunikatören vid förfrågan f</w:t>
            </w:r>
            <w:r w:rsidR="001A19C7">
              <w:rPr>
                <w:rFonts w:ascii="Verdana" w:hAnsi="Verdana"/>
                <w:sz w:val="24"/>
                <w:szCs w:val="24"/>
              </w:rPr>
              <w:t>rån pedagoger.</w:t>
            </w:r>
            <w:r w:rsidRPr="001A19C7">
              <w:rPr>
                <w:rFonts w:ascii="Verdana" w:hAnsi="Verdana"/>
                <w:sz w:val="24"/>
                <w:szCs w:val="24"/>
              </w:rPr>
              <w:t xml:space="preserve"> </w:t>
            </w:r>
          </w:p>
          <w:p w:rsidR="00741D8A" w:rsidRPr="001A19C7" w:rsidRDefault="00741D8A" w:rsidP="008E02AC">
            <w:pPr>
              <w:rPr>
                <w:rFonts w:ascii="Verdana" w:hAnsi="Verdana"/>
                <w:sz w:val="24"/>
                <w:szCs w:val="24"/>
              </w:rPr>
            </w:pPr>
          </w:p>
          <w:p w:rsidR="00741D8A" w:rsidRPr="001A19C7" w:rsidRDefault="00741D8A" w:rsidP="008E02AC">
            <w:pPr>
              <w:rPr>
                <w:rFonts w:ascii="Verdana" w:hAnsi="Verdana"/>
                <w:sz w:val="24"/>
                <w:szCs w:val="24"/>
              </w:rPr>
            </w:pPr>
            <w:r w:rsidRPr="001A19C7">
              <w:rPr>
                <w:rFonts w:ascii="Verdana" w:hAnsi="Verdana"/>
                <w:sz w:val="24"/>
                <w:szCs w:val="24"/>
              </w:rPr>
              <w:t>Pedagog skickar inbjudan.</w:t>
            </w:r>
          </w:p>
        </w:tc>
      </w:tr>
      <w:tr w:rsidR="00741D8A" w:rsidRPr="001A19C7" w:rsidTr="007944FA">
        <w:tc>
          <w:tcPr>
            <w:tcW w:w="4610" w:type="dxa"/>
            <w:shd w:val="clear" w:color="auto" w:fill="FFFFFF" w:themeFill="background1"/>
          </w:tcPr>
          <w:p w:rsidR="00741D8A" w:rsidRPr="001A19C7" w:rsidRDefault="00741D8A" w:rsidP="008E02AC">
            <w:pPr>
              <w:rPr>
                <w:rFonts w:ascii="Verdana" w:hAnsi="Verdana"/>
                <w:sz w:val="20"/>
                <w:szCs w:val="20"/>
              </w:rPr>
            </w:pPr>
          </w:p>
          <w:p w:rsidR="00741D8A" w:rsidRPr="001A19C7" w:rsidRDefault="00741D8A" w:rsidP="008E02AC">
            <w:pPr>
              <w:rPr>
                <w:rFonts w:ascii="Verdana" w:hAnsi="Verdana"/>
                <w:sz w:val="24"/>
                <w:szCs w:val="24"/>
              </w:rPr>
            </w:pPr>
            <w:r w:rsidRPr="001A19C7">
              <w:rPr>
                <w:rFonts w:ascii="Verdana" w:hAnsi="Verdana"/>
                <w:sz w:val="24"/>
                <w:szCs w:val="24"/>
              </w:rPr>
              <w:t>Inköp av andaktsböcker, biblar och frälsarkrans till dopfest.</w:t>
            </w:r>
          </w:p>
          <w:p w:rsidR="00741D8A" w:rsidRPr="001A19C7" w:rsidRDefault="00741D8A" w:rsidP="008E02AC">
            <w:pPr>
              <w:rPr>
                <w:rFonts w:ascii="Verdana" w:hAnsi="Verdana"/>
                <w:sz w:val="20"/>
                <w:szCs w:val="20"/>
              </w:rPr>
            </w:pPr>
          </w:p>
        </w:tc>
        <w:tc>
          <w:tcPr>
            <w:tcW w:w="1900" w:type="dxa"/>
            <w:shd w:val="clear" w:color="auto" w:fill="FFFFFF" w:themeFill="background1"/>
          </w:tcPr>
          <w:p w:rsidR="00741D8A" w:rsidRPr="001A19C7" w:rsidRDefault="00741D8A" w:rsidP="008E02AC">
            <w:pPr>
              <w:rPr>
                <w:rFonts w:ascii="Verdana" w:hAnsi="Verdana"/>
                <w:sz w:val="24"/>
                <w:szCs w:val="24"/>
              </w:rPr>
            </w:pPr>
          </w:p>
          <w:p w:rsidR="00741D8A" w:rsidRPr="001A19C7" w:rsidRDefault="00741D8A" w:rsidP="008E02AC">
            <w:pPr>
              <w:rPr>
                <w:rFonts w:ascii="Verdana" w:hAnsi="Verdana"/>
                <w:sz w:val="24"/>
                <w:szCs w:val="24"/>
              </w:rPr>
            </w:pPr>
            <w:r w:rsidRPr="001A19C7">
              <w:rPr>
                <w:rFonts w:ascii="Verdana" w:hAnsi="Verdana"/>
                <w:sz w:val="24"/>
                <w:szCs w:val="24"/>
              </w:rPr>
              <w:t>Årligen</w:t>
            </w:r>
          </w:p>
        </w:tc>
        <w:tc>
          <w:tcPr>
            <w:tcW w:w="2552" w:type="dxa"/>
            <w:shd w:val="clear" w:color="auto" w:fill="FFFFFF" w:themeFill="background1"/>
          </w:tcPr>
          <w:p w:rsidR="00741D8A" w:rsidRPr="001A19C7" w:rsidRDefault="00741D8A" w:rsidP="008E02AC">
            <w:pPr>
              <w:rPr>
                <w:rFonts w:ascii="Verdana" w:hAnsi="Verdana"/>
                <w:sz w:val="24"/>
                <w:szCs w:val="24"/>
              </w:rPr>
            </w:pPr>
          </w:p>
          <w:p w:rsidR="00741D8A" w:rsidRPr="001A19C7" w:rsidRDefault="001A19C7" w:rsidP="008E02AC">
            <w:pPr>
              <w:rPr>
                <w:rFonts w:ascii="Verdana" w:hAnsi="Verdana"/>
                <w:sz w:val="24"/>
                <w:szCs w:val="24"/>
              </w:rPr>
            </w:pPr>
            <w:r>
              <w:rPr>
                <w:rFonts w:ascii="Verdana" w:hAnsi="Verdana"/>
                <w:sz w:val="24"/>
                <w:szCs w:val="24"/>
              </w:rPr>
              <w:t>Pedagog</w:t>
            </w:r>
          </w:p>
        </w:tc>
      </w:tr>
      <w:tr w:rsidR="00741D8A" w:rsidRPr="001A19C7" w:rsidTr="007944FA">
        <w:tc>
          <w:tcPr>
            <w:tcW w:w="4610" w:type="dxa"/>
            <w:shd w:val="clear" w:color="auto" w:fill="FFFFFF" w:themeFill="background1"/>
          </w:tcPr>
          <w:p w:rsidR="00741D8A" w:rsidRPr="001A19C7" w:rsidRDefault="00741D8A" w:rsidP="008E02AC">
            <w:pPr>
              <w:rPr>
                <w:rFonts w:ascii="Verdana" w:hAnsi="Verdana"/>
                <w:sz w:val="20"/>
                <w:szCs w:val="20"/>
              </w:rPr>
            </w:pPr>
          </w:p>
          <w:p w:rsidR="00741D8A" w:rsidRPr="001A19C7" w:rsidRDefault="00741D8A" w:rsidP="008E02AC">
            <w:pPr>
              <w:rPr>
                <w:rFonts w:ascii="Verdana" w:hAnsi="Verdana"/>
                <w:sz w:val="24"/>
                <w:szCs w:val="24"/>
              </w:rPr>
            </w:pPr>
            <w:r w:rsidRPr="001A19C7">
              <w:rPr>
                <w:rFonts w:ascii="Verdana" w:hAnsi="Verdana"/>
                <w:sz w:val="24"/>
                <w:szCs w:val="24"/>
              </w:rPr>
              <w:t xml:space="preserve">Inbjudan till konfirmandundervisning till </w:t>
            </w:r>
          </w:p>
          <w:p w:rsidR="00741D8A" w:rsidRPr="001A19C7" w:rsidRDefault="00741D8A" w:rsidP="008E02AC">
            <w:pPr>
              <w:rPr>
                <w:rFonts w:ascii="Verdana" w:hAnsi="Verdana"/>
                <w:sz w:val="24"/>
                <w:szCs w:val="24"/>
              </w:rPr>
            </w:pPr>
            <w:r w:rsidRPr="001A19C7">
              <w:rPr>
                <w:rFonts w:ascii="Verdana" w:hAnsi="Verdana"/>
                <w:sz w:val="24"/>
                <w:szCs w:val="24"/>
              </w:rPr>
              <w:t>14-åringar.</w:t>
            </w:r>
          </w:p>
          <w:p w:rsidR="00741D8A" w:rsidRPr="001A19C7" w:rsidRDefault="00741D8A" w:rsidP="008E02AC">
            <w:pPr>
              <w:rPr>
                <w:rFonts w:ascii="Verdana" w:hAnsi="Verdana"/>
                <w:sz w:val="24"/>
                <w:szCs w:val="24"/>
              </w:rPr>
            </w:pPr>
          </w:p>
          <w:p w:rsidR="00741D8A" w:rsidRPr="001A19C7" w:rsidRDefault="00741D8A" w:rsidP="008E02AC">
            <w:pPr>
              <w:rPr>
                <w:rFonts w:ascii="Verdana" w:hAnsi="Verdana"/>
                <w:sz w:val="20"/>
                <w:szCs w:val="20"/>
              </w:rPr>
            </w:pPr>
          </w:p>
        </w:tc>
        <w:tc>
          <w:tcPr>
            <w:tcW w:w="1900" w:type="dxa"/>
            <w:shd w:val="clear" w:color="auto" w:fill="FFFFFF" w:themeFill="background1"/>
          </w:tcPr>
          <w:p w:rsidR="00741D8A" w:rsidRPr="001A19C7" w:rsidRDefault="00741D8A" w:rsidP="008E02AC">
            <w:pPr>
              <w:rPr>
                <w:rFonts w:ascii="Verdana" w:hAnsi="Verdana"/>
                <w:sz w:val="24"/>
                <w:szCs w:val="24"/>
              </w:rPr>
            </w:pPr>
          </w:p>
          <w:p w:rsidR="00CD346E" w:rsidRPr="001A19C7" w:rsidRDefault="00CD346E" w:rsidP="008E02AC">
            <w:pPr>
              <w:rPr>
                <w:rFonts w:ascii="Verdana" w:hAnsi="Verdana"/>
                <w:sz w:val="24"/>
                <w:szCs w:val="24"/>
              </w:rPr>
            </w:pPr>
          </w:p>
          <w:p w:rsidR="00741D8A" w:rsidRPr="001A19C7" w:rsidRDefault="00741D8A" w:rsidP="008E02AC">
            <w:pPr>
              <w:rPr>
                <w:rFonts w:ascii="Verdana" w:hAnsi="Verdana"/>
                <w:sz w:val="24"/>
                <w:szCs w:val="24"/>
              </w:rPr>
            </w:pPr>
            <w:r w:rsidRPr="001A19C7">
              <w:rPr>
                <w:rFonts w:ascii="Verdana" w:hAnsi="Verdana"/>
                <w:sz w:val="24"/>
                <w:szCs w:val="24"/>
              </w:rPr>
              <w:t>Årligen</w:t>
            </w:r>
          </w:p>
        </w:tc>
        <w:tc>
          <w:tcPr>
            <w:tcW w:w="2552" w:type="dxa"/>
            <w:shd w:val="clear" w:color="auto" w:fill="FFFFFF" w:themeFill="background1"/>
          </w:tcPr>
          <w:p w:rsidR="00741D8A" w:rsidRPr="001A19C7" w:rsidRDefault="00741D8A" w:rsidP="008E02AC">
            <w:pPr>
              <w:rPr>
                <w:rFonts w:ascii="Verdana" w:hAnsi="Verdana"/>
                <w:sz w:val="24"/>
                <w:szCs w:val="24"/>
              </w:rPr>
            </w:pPr>
          </w:p>
          <w:p w:rsidR="00741D8A" w:rsidRPr="001A19C7" w:rsidRDefault="00741D8A" w:rsidP="008E02AC">
            <w:pPr>
              <w:rPr>
                <w:rFonts w:ascii="Verdana" w:hAnsi="Verdana"/>
                <w:sz w:val="24"/>
                <w:szCs w:val="24"/>
              </w:rPr>
            </w:pPr>
            <w:r w:rsidRPr="001A19C7">
              <w:rPr>
                <w:rFonts w:ascii="Verdana" w:hAnsi="Verdana"/>
                <w:sz w:val="24"/>
                <w:szCs w:val="24"/>
              </w:rPr>
              <w:t>Adressunderlag tas fram av kommunikatören vid förfrågan från</w:t>
            </w:r>
          </w:p>
          <w:p w:rsidR="00741D8A" w:rsidRPr="001A19C7" w:rsidRDefault="00741D8A" w:rsidP="00741D8A">
            <w:pPr>
              <w:rPr>
                <w:rFonts w:ascii="Verdana" w:hAnsi="Verdana"/>
                <w:sz w:val="24"/>
                <w:szCs w:val="24"/>
              </w:rPr>
            </w:pPr>
            <w:r w:rsidRPr="001A19C7">
              <w:rPr>
                <w:rFonts w:ascii="Verdana" w:hAnsi="Verdana"/>
                <w:sz w:val="24"/>
                <w:szCs w:val="24"/>
              </w:rPr>
              <w:t>Konfirmandteamet.</w:t>
            </w:r>
          </w:p>
        </w:tc>
      </w:tr>
      <w:tr w:rsidR="00741D8A" w:rsidRPr="0056274E" w:rsidTr="007944FA">
        <w:tc>
          <w:tcPr>
            <w:tcW w:w="4610" w:type="dxa"/>
            <w:shd w:val="clear" w:color="auto" w:fill="BFBFBF" w:themeFill="background1" w:themeFillShade="BF"/>
          </w:tcPr>
          <w:p w:rsidR="00741D8A" w:rsidRPr="001A19C7" w:rsidRDefault="00741D8A" w:rsidP="008E02AC">
            <w:pPr>
              <w:rPr>
                <w:rFonts w:ascii="Verdana" w:hAnsi="Verdana"/>
                <w:sz w:val="32"/>
                <w:szCs w:val="32"/>
              </w:rPr>
            </w:pPr>
            <w:r w:rsidRPr="001A19C7">
              <w:rPr>
                <w:rFonts w:ascii="Verdana" w:hAnsi="Verdana"/>
                <w:sz w:val="32"/>
                <w:szCs w:val="32"/>
              </w:rPr>
              <w:t>Utvärdering och utveckling</w:t>
            </w:r>
          </w:p>
        </w:tc>
        <w:tc>
          <w:tcPr>
            <w:tcW w:w="1900" w:type="dxa"/>
            <w:shd w:val="clear" w:color="auto" w:fill="BFBFBF" w:themeFill="background1" w:themeFillShade="BF"/>
          </w:tcPr>
          <w:p w:rsidR="00741D8A" w:rsidRPr="001A19C7" w:rsidRDefault="00741D8A" w:rsidP="008E02AC"/>
        </w:tc>
        <w:tc>
          <w:tcPr>
            <w:tcW w:w="2552" w:type="dxa"/>
            <w:shd w:val="clear" w:color="auto" w:fill="BFBFBF" w:themeFill="background1" w:themeFillShade="BF"/>
          </w:tcPr>
          <w:p w:rsidR="00741D8A" w:rsidRPr="001A19C7" w:rsidRDefault="00741D8A" w:rsidP="008E02AC"/>
        </w:tc>
      </w:tr>
      <w:tr w:rsidR="00741D8A" w:rsidRPr="0056274E" w:rsidTr="007944FA">
        <w:tc>
          <w:tcPr>
            <w:tcW w:w="4610" w:type="dxa"/>
            <w:shd w:val="clear" w:color="auto" w:fill="BFBFBF" w:themeFill="background1" w:themeFillShade="BF"/>
          </w:tcPr>
          <w:p w:rsidR="00741D8A" w:rsidRPr="001A19C7" w:rsidRDefault="00741D8A" w:rsidP="008E02AC">
            <w:pPr>
              <w:rPr>
                <w:rFonts w:ascii="Verdana" w:hAnsi="Verdana"/>
                <w:sz w:val="20"/>
                <w:szCs w:val="20"/>
              </w:rPr>
            </w:pPr>
            <w:r w:rsidRPr="001A19C7">
              <w:rPr>
                <w:rFonts w:ascii="Verdana" w:hAnsi="Verdana"/>
                <w:sz w:val="20"/>
                <w:szCs w:val="20"/>
              </w:rPr>
              <w:t>Aktivitet</w:t>
            </w:r>
          </w:p>
        </w:tc>
        <w:tc>
          <w:tcPr>
            <w:tcW w:w="1900" w:type="dxa"/>
            <w:shd w:val="clear" w:color="auto" w:fill="BFBFBF" w:themeFill="background1" w:themeFillShade="BF"/>
          </w:tcPr>
          <w:p w:rsidR="00741D8A" w:rsidRPr="001A19C7" w:rsidRDefault="00741D8A" w:rsidP="008E02AC">
            <w:pPr>
              <w:rPr>
                <w:rFonts w:ascii="Verdana" w:hAnsi="Verdana"/>
              </w:rPr>
            </w:pPr>
            <w:r w:rsidRPr="001A19C7">
              <w:rPr>
                <w:rFonts w:ascii="Verdana" w:hAnsi="Verdana"/>
              </w:rPr>
              <w:t>När</w:t>
            </w:r>
          </w:p>
        </w:tc>
        <w:tc>
          <w:tcPr>
            <w:tcW w:w="2552" w:type="dxa"/>
            <w:shd w:val="clear" w:color="auto" w:fill="BFBFBF" w:themeFill="background1" w:themeFillShade="BF"/>
          </w:tcPr>
          <w:p w:rsidR="00741D8A" w:rsidRPr="001A19C7" w:rsidRDefault="00741D8A" w:rsidP="008E02AC">
            <w:pPr>
              <w:rPr>
                <w:rFonts w:ascii="Verdana" w:hAnsi="Verdana"/>
                <w:sz w:val="20"/>
                <w:szCs w:val="20"/>
              </w:rPr>
            </w:pPr>
            <w:r w:rsidRPr="001A19C7">
              <w:rPr>
                <w:rFonts w:ascii="Verdana" w:hAnsi="Verdana"/>
                <w:sz w:val="20"/>
                <w:szCs w:val="20"/>
              </w:rPr>
              <w:t>Ansvarig</w:t>
            </w:r>
          </w:p>
        </w:tc>
      </w:tr>
      <w:tr w:rsidR="00741D8A" w:rsidRPr="0056274E" w:rsidTr="007944FA">
        <w:tc>
          <w:tcPr>
            <w:tcW w:w="4610" w:type="dxa"/>
            <w:shd w:val="clear" w:color="auto" w:fill="FFFFFF" w:themeFill="background1"/>
          </w:tcPr>
          <w:p w:rsidR="00741D8A" w:rsidRPr="001A19C7" w:rsidRDefault="00741D8A" w:rsidP="008E02AC">
            <w:pPr>
              <w:rPr>
                <w:rFonts w:ascii="Verdana" w:hAnsi="Verdana"/>
                <w:sz w:val="20"/>
                <w:szCs w:val="20"/>
              </w:rPr>
            </w:pPr>
          </w:p>
          <w:p w:rsidR="00741D8A" w:rsidRPr="001A19C7" w:rsidRDefault="00741D8A" w:rsidP="008E02AC">
            <w:pPr>
              <w:rPr>
                <w:rFonts w:ascii="Verdana" w:hAnsi="Verdana"/>
                <w:sz w:val="24"/>
                <w:szCs w:val="24"/>
              </w:rPr>
            </w:pPr>
            <w:r w:rsidRPr="001A19C7">
              <w:rPr>
                <w:rFonts w:ascii="Verdana" w:hAnsi="Verdana"/>
                <w:sz w:val="24"/>
                <w:szCs w:val="24"/>
              </w:rPr>
              <w:t>Se på statistik</w:t>
            </w:r>
          </w:p>
          <w:p w:rsidR="00741D8A" w:rsidRPr="001A19C7" w:rsidRDefault="00741D8A" w:rsidP="008E02AC">
            <w:pPr>
              <w:rPr>
                <w:rFonts w:ascii="Verdana" w:hAnsi="Verdana"/>
                <w:sz w:val="24"/>
                <w:szCs w:val="24"/>
              </w:rPr>
            </w:pPr>
          </w:p>
          <w:p w:rsidR="00741D8A" w:rsidRPr="001A19C7" w:rsidRDefault="0066542C" w:rsidP="008E02AC">
            <w:pPr>
              <w:rPr>
                <w:rFonts w:ascii="Verdana" w:hAnsi="Verdana"/>
                <w:sz w:val="24"/>
                <w:szCs w:val="24"/>
              </w:rPr>
            </w:pPr>
            <w:r w:rsidRPr="001A19C7">
              <w:rPr>
                <w:rFonts w:ascii="Verdana" w:hAnsi="Verdana"/>
                <w:sz w:val="24"/>
                <w:szCs w:val="24"/>
              </w:rPr>
              <w:t>(</w:t>
            </w:r>
            <w:r w:rsidR="00741D8A" w:rsidRPr="001A19C7">
              <w:rPr>
                <w:rFonts w:ascii="Verdana" w:hAnsi="Verdana"/>
                <w:sz w:val="24"/>
                <w:szCs w:val="24"/>
              </w:rPr>
              <w:t>Sammanställa statistik)</w:t>
            </w:r>
          </w:p>
          <w:p w:rsidR="00741D8A" w:rsidRPr="001A19C7" w:rsidRDefault="0066542C" w:rsidP="008E02AC">
            <w:pPr>
              <w:rPr>
                <w:rFonts w:ascii="Verdana" w:hAnsi="Verdana"/>
                <w:sz w:val="20"/>
                <w:szCs w:val="20"/>
              </w:rPr>
            </w:pPr>
            <w:r w:rsidRPr="001A19C7">
              <w:rPr>
                <w:rFonts w:ascii="Verdana" w:hAnsi="Verdana"/>
                <w:sz w:val="20"/>
                <w:szCs w:val="20"/>
              </w:rPr>
              <w:t>(Tolka statistik)</w:t>
            </w:r>
          </w:p>
        </w:tc>
        <w:tc>
          <w:tcPr>
            <w:tcW w:w="1900" w:type="dxa"/>
            <w:shd w:val="clear" w:color="auto" w:fill="FFFFFF" w:themeFill="background1"/>
          </w:tcPr>
          <w:p w:rsidR="00741D8A" w:rsidRPr="001A19C7" w:rsidRDefault="00741D8A" w:rsidP="008E02AC">
            <w:pPr>
              <w:rPr>
                <w:rFonts w:ascii="Verdana" w:hAnsi="Verdana"/>
                <w:sz w:val="24"/>
                <w:szCs w:val="24"/>
              </w:rPr>
            </w:pPr>
          </w:p>
          <w:p w:rsidR="00741D8A" w:rsidRPr="001A19C7" w:rsidRDefault="00741D8A" w:rsidP="008E02AC">
            <w:pPr>
              <w:rPr>
                <w:rFonts w:ascii="Verdana" w:hAnsi="Verdana"/>
                <w:sz w:val="24"/>
                <w:szCs w:val="24"/>
              </w:rPr>
            </w:pPr>
            <w:r w:rsidRPr="001A19C7">
              <w:rPr>
                <w:rFonts w:ascii="Verdana" w:hAnsi="Verdana"/>
                <w:sz w:val="24"/>
                <w:szCs w:val="24"/>
              </w:rPr>
              <w:t>Årligen</w:t>
            </w:r>
          </w:p>
        </w:tc>
        <w:tc>
          <w:tcPr>
            <w:tcW w:w="2552" w:type="dxa"/>
            <w:shd w:val="clear" w:color="auto" w:fill="FFFFFF" w:themeFill="background1"/>
          </w:tcPr>
          <w:p w:rsidR="00741D8A" w:rsidRPr="001A19C7" w:rsidRDefault="00741D8A" w:rsidP="008E02AC">
            <w:pPr>
              <w:rPr>
                <w:rFonts w:ascii="Verdana" w:hAnsi="Verdana"/>
                <w:sz w:val="20"/>
                <w:szCs w:val="20"/>
              </w:rPr>
            </w:pPr>
          </w:p>
          <w:p w:rsidR="00741D8A" w:rsidRPr="001A19C7" w:rsidRDefault="00741D8A" w:rsidP="008E02AC">
            <w:pPr>
              <w:rPr>
                <w:rFonts w:ascii="Verdana" w:hAnsi="Verdana"/>
                <w:sz w:val="24"/>
                <w:szCs w:val="24"/>
              </w:rPr>
            </w:pPr>
          </w:p>
          <w:p w:rsidR="0066542C" w:rsidRPr="001A19C7" w:rsidRDefault="0066542C" w:rsidP="008E02AC">
            <w:pPr>
              <w:rPr>
                <w:rFonts w:ascii="Verdana" w:hAnsi="Verdana"/>
                <w:sz w:val="24"/>
                <w:szCs w:val="24"/>
              </w:rPr>
            </w:pPr>
          </w:p>
          <w:p w:rsidR="00741D8A" w:rsidRPr="001A19C7" w:rsidRDefault="00741D8A" w:rsidP="0066542C">
            <w:pPr>
              <w:rPr>
                <w:rFonts w:ascii="Verdana" w:hAnsi="Verdana"/>
                <w:sz w:val="24"/>
                <w:szCs w:val="24"/>
              </w:rPr>
            </w:pPr>
            <w:r w:rsidRPr="001A19C7">
              <w:rPr>
                <w:rFonts w:ascii="Verdana" w:hAnsi="Verdana"/>
                <w:sz w:val="24"/>
                <w:szCs w:val="24"/>
              </w:rPr>
              <w:t>(</w:t>
            </w:r>
            <w:r w:rsidR="0066542C" w:rsidRPr="001A19C7">
              <w:rPr>
                <w:rFonts w:ascii="Verdana" w:hAnsi="Verdana"/>
                <w:sz w:val="24"/>
                <w:szCs w:val="24"/>
              </w:rPr>
              <w:t>Kommunikatör</w:t>
            </w:r>
            <w:r w:rsidRPr="001A19C7">
              <w:rPr>
                <w:rFonts w:ascii="Verdana" w:hAnsi="Verdana"/>
                <w:sz w:val="24"/>
                <w:szCs w:val="24"/>
              </w:rPr>
              <w:t>)</w:t>
            </w:r>
          </w:p>
          <w:p w:rsidR="0066542C" w:rsidRPr="001A19C7" w:rsidRDefault="0066542C" w:rsidP="0066542C">
            <w:pPr>
              <w:rPr>
                <w:rFonts w:ascii="Verdana" w:hAnsi="Verdana"/>
                <w:sz w:val="24"/>
                <w:szCs w:val="24"/>
              </w:rPr>
            </w:pPr>
            <w:r w:rsidRPr="001A19C7">
              <w:rPr>
                <w:rFonts w:ascii="Verdana" w:hAnsi="Verdana"/>
                <w:sz w:val="24"/>
                <w:szCs w:val="24"/>
              </w:rPr>
              <w:t>(Präst, pedagog)</w:t>
            </w:r>
          </w:p>
        </w:tc>
      </w:tr>
      <w:tr w:rsidR="00741D8A" w:rsidRPr="0056274E" w:rsidTr="007944FA">
        <w:tc>
          <w:tcPr>
            <w:tcW w:w="4610" w:type="dxa"/>
          </w:tcPr>
          <w:p w:rsidR="00741D8A" w:rsidRPr="001A19C7" w:rsidRDefault="00741D8A" w:rsidP="008E02AC">
            <w:pPr>
              <w:rPr>
                <w:rFonts w:ascii="Verdana" w:hAnsi="Verdana"/>
                <w:sz w:val="20"/>
                <w:szCs w:val="20"/>
              </w:rPr>
            </w:pPr>
          </w:p>
          <w:p w:rsidR="00741D8A" w:rsidRPr="001A19C7" w:rsidRDefault="00741D8A" w:rsidP="008E02AC">
            <w:pPr>
              <w:rPr>
                <w:rFonts w:ascii="Verdana" w:hAnsi="Verdana"/>
                <w:sz w:val="24"/>
                <w:szCs w:val="24"/>
              </w:rPr>
            </w:pPr>
            <w:r w:rsidRPr="001A19C7">
              <w:rPr>
                <w:rFonts w:ascii="Verdana" w:hAnsi="Verdana"/>
                <w:sz w:val="24"/>
                <w:szCs w:val="24"/>
              </w:rPr>
              <w:t>Utvärdera dopuppföljningen</w:t>
            </w:r>
          </w:p>
          <w:p w:rsidR="00741D8A" w:rsidRPr="001A19C7" w:rsidRDefault="00741D8A" w:rsidP="008E02AC">
            <w:pPr>
              <w:rPr>
                <w:rFonts w:ascii="Verdana" w:hAnsi="Verdana"/>
                <w:sz w:val="24"/>
                <w:szCs w:val="24"/>
              </w:rPr>
            </w:pPr>
          </w:p>
          <w:p w:rsidR="00741D8A" w:rsidRPr="001A19C7" w:rsidRDefault="00741D8A" w:rsidP="008E02AC">
            <w:pPr>
              <w:rPr>
                <w:rFonts w:ascii="Verdana" w:hAnsi="Verdana"/>
                <w:sz w:val="24"/>
                <w:szCs w:val="24"/>
              </w:rPr>
            </w:pPr>
          </w:p>
          <w:p w:rsidR="00741D8A" w:rsidRPr="001A19C7" w:rsidRDefault="00741D8A" w:rsidP="008E02AC">
            <w:pPr>
              <w:rPr>
                <w:rFonts w:ascii="Verdana" w:hAnsi="Verdana"/>
                <w:sz w:val="20"/>
                <w:szCs w:val="20"/>
              </w:rPr>
            </w:pPr>
          </w:p>
        </w:tc>
        <w:tc>
          <w:tcPr>
            <w:tcW w:w="1900" w:type="dxa"/>
          </w:tcPr>
          <w:p w:rsidR="00741D8A" w:rsidRPr="001A19C7" w:rsidRDefault="00741D8A" w:rsidP="008E02AC">
            <w:pPr>
              <w:rPr>
                <w:rFonts w:ascii="Verdana" w:hAnsi="Verdana"/>
                <w:sz w:val="24"/>
                <w:szCs w:val="24"/>
              </w:rPr>
            </w:pPr>
          </w:p>
          <w:p w:rsidR="00741D8A" w:rsidRPr="001A19C7" w:rsidRDefault="00741D8A" w:rsidP="008E02AC">
            <w:pPr>
              <w:rPr>
                <w:rFonts w:ascii="Verdana" w:hAnsi="Verdana"/>
                <w:sz w:val="24"/>
                <w:szCs w:val="24"/>
              </w:rPr>
            </w:pPr>
            <w:r w:rsidRPr="001A19C7">
              <w:rPr>
                <w:rFonts w:ascii="Verdana" w:hAnsi="Verdana"/>
                <w:sz w:val="24"/>
                <w:szCs w:val="24"/>
              </w:rPr>
              <w:t>Årligen</w:t>
            </w:r>
          </w:p>
        </w:tc>
        <w:tc>
          <w:tcPr>
            <w:tcW w:w="2552" w:type="dxa"/>
          </w:tcPr>
          <w:p w:rsidR="00741D8A" w:rsidRPr="001A19C7" w:rsidRDefault="00741D8A" w:rsidP="008E02AC">
            <w:pPr>
              <w:rPr>
                <w:rFonts w:ascii="Verdana" w:hAnsi="Verdana"/>
              </w:rPr>
            </w:pPr>
          </w:p>
          <w:p w:rsidR="00741D8A" w:rsidRPr="001A19C7" w:rsidRDefault="0066542C" w:rsidP="008E02AC">
            <w:pPr>
              <w:rPr>
                <w:rFonts w:ascii="Verdana" w:hAnsi="Verdana"/>
              </w:rPr>
            </w:pPr>
            <w:r w:rsidRPr="001A19C7">
              <w:rPr>
                <w:rFonts w:ascii="Verdana" w:hAnsi="Verdana"/>
              </w:rPr>
              <w:t>Präst, pedagog</w:t>
            </w:r>
          </w:p>
        </w:tc>
      </w:tr>
      <w:tr w:rsidR="00741D8A" w:rsidTr="007944FA">
        <w:tc>
          <w:tcPr>
            <w:tcW w:w="4610" w:type="dxa"/>
          </w:tcPr>
          <w:p w:rsidR="00741D8A" w:rsidRPr="001A19C7" w:rsidRDefault="00741D8A" w:rsidP="008E02AC">
            <w:pPr>
              <w:rPr>
                <w:rFonts w:ascii="Verdana" w:hAnsi="Verdana"/>
                <w:sz w:val="20"/>
                <w:szCs w:val="20"/>
              </w:rPr>
            </w:pPr>
          </w:p>
          <w:p w:rsidR="00741D8A" w:rsidRPr="001A19C7" w:rsidRDefault="00741D8A" w:rsidP="008E02AC">
            <w:pPr>
              <w:rPr>
                <w:rFonts w:ascii="Verdana" w:hAnsi="Verdana"/>
                <w:sz w:val="24"/>
                <w:szCs w:val="24"/>
              </w:rPr>
            </w:pPr>
            <w:r w:rsidRPr="001A19C7">
              <w:rPr>
                <w:rFonts w:ascii="Verdana" w:hAnsi="Verdana"/>
                <w:sz w:val="24"/>
                <w:szCs w:val="24"/>
              </w:rPr>
              <w:t>Doppastoral ska revideras, helst i samband med finbearbetning.</w:t>
            </w:r>
          </w:p>
          <w:p w:rsidR="00741D8A" w:rsidRPr="001A19C7" w:rsidRDefault="00741D8A" w:rsidP="008E02AC">
            <w:pPr>
              <w:rPr>
                <w:rFonts w:ascii="Verdana" w:hAnsi="Verdana"/>
                <w:sz w:val="24"/>
                <w:szCs w:val="24"/>
              </w:rPr>
            </w:pPr>
          </w:p>
          <w:p w:rsidR="00741D8A" w:rsidRPr="001A19C7" w:rsidRDefault="00741D8A" w:rsidP="008E02AC">
            <w:pPr>
              <w:rPr>
                <w:rFonts w:ascii="Verdana" w:hAnsi="Verdana"/>
                <w:sz w:val="20"/>
                <w:szCs w:val="20"/>
              </w:rPr>
            </w:pPr>
            <w:r w:rsidRPr="001A19C7">
              <w:rPr>
                <w:rFonts w:ascii="Verdana" w:hAnsi="Verdana"/>
                <w:sz w:val="24"/>
                <w:szCs w:val="24"/>
              </w:rPr>
              <w:t xml:space="preserve"> </w:t>
            </w:r>
          </w:p>
        </w:tc>
        <w:tc>
          <w:tcPr>
            <w:tcW w:w="1900" w:type="dxa"/>
          </w:tcPr>
          <w:p w:rsidR="00741D8A" w:rsidRPr="001A19C7" w:rsidRDefault="00741D8A" w:rsidP="008E02AC">
            <w:pPr>
              <w:rPr>
                <w:rFonts w:ascii="Verdana" w:hAnsi="Verdana"/>
                <w:sz w:val="24"/>
                <w:szCs w:val="24"/>
              </w:rPr>
            </w:pPr>
          </w:p>
          <w:p w:rsidR="00741D8A" w:rsidRPr="001A19C7" w:rsidRDefault="00741D8A" w:rsidP="008E02AC">
            <w:pPr>
              <w:rPr>
                <w:rFonts w:ascii="Verdana" w:hAnsi="Verdana"/>
                <w:sz w:val="24"/>
                <w:szCs w:val="24"/>
              </w:rPr>
            </w:pPr>
            <w:r w:rsidRPr="001A19C7">
              <w:rPr>
                <w:rFonts w:ascii="Verdana" w:hAnsi="Verdana"/>
                <w:sz w:val="24"/>
                <w:szCs w:val="24"/>
              </w:rPr>
              <w:t>Vart fjärde år</w:t>
            </w:r>
          </w:p>
        </w:tc>
        <w:tc>
          <w:tcPr>
            <w:tcW w:w="2552" w:type="dxa"/>
          </w:tcPr>
          <w:p w:rsidR="00741D8A" w:rsidRPr="001A19C7" w:rsidRDefault="00741D8A" w:rsidP="008E02AC">
            <w:pPr>
              <w:rPr>
                <w:rFonts w:ascii="Verdana" w:hAnsi="Verdana"/>
              </w:rPr>
            </w:pPr>
          </w:p>
          <w:p w:rsidR="00741D8A" w:rsidRPr="001A19C7" w:rsidRDefault="0066542C" w:rsidP="008E02AC">
            <w:pPr>
              <w:rPr>
                <w:rFonts w:ascii="Verdana" w:hAnsi="Verdana"/>
              </w:rPr>
            </w:pPr>
            <w:r w:rsidRPr="001A19C7">
              <w:rPr>
                <w:rFonts w:ascii="Verdana" w:hAnsi="Verdana"/>
              </w:rPr>
              <w:t>Präst(er), pedagog(er)</w:t>
            </w:r>
          </w:p>
        </w:tc>
      </w:tr>
    </w:tbl>
    <w:p w:rsidR="00741D8A" w:rsidRDefault="00741D8A" w:rsidP="00741D8A">
      <w:pPr>
        <w:spacing w:after="0" w:line="240" w:lineRule="auto"/>
      </w:pPr>
    </w:p>
    <w:p w:rsidR="00741D8A" w:rsidRDefault="00741D8A" w:rsidP="00741D8A">
      <w:pPr>
        <w:spacing w:after="0" w:line="240" w:lineRule="auto"/>
      </w:pPr>
    </w:p>
    <w:p w:rsidR="001A19C7" w:rsidRDefault="001A19C7" w:rsidP="009E1A34">
      <w:pPr>
        <w:rPr>
          <w:b/>
          <w:highlight w:val="yellow"/>
        </w:rPr>
      </w:pPr>
    </w:p>
    <w:sectPr w:rsidR="001A19C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673F" w:rsidRDefault="00B0673F" w:rsidP="00B0673F">
      <w:pPr>
        <w:spacing w:after="0" w:line="240" w:lineRule="auto"/>
      </w:pPr>
      <w:r>
        <w:separator/>
      </w:r>
    </w:p>
  </w:endnote>
  <w:endnote w:type="continuationSeparator" w:id="0">
    <w:p w:rsidR="00B0673F" w:rsidRDefault="00B0673F" w:rsidP="00B067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673F" w:rsidRDefault="00B0673F" w:rsidP="00B0673F">
      <w:pPr>
        <w:spacing w:after="0" w:line="240" w:lineRule="auto"/>
      </w:pPr>
      <w:r>
        <w:separator/>
      </w:r>
    </w:p>
  </w:footnote>
  <w:footnote w:type="continuationSeparator" w:id="0">
    <w:p w:rsidR="00B0673F" w:rsidRDefault="00B0673F" w:rsidP="00B0673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75151C6"/>
    <w:multiLevelType w:val="hybridMultilevel"/>
    <w:tmpl w:val="9210035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87F"/>
    <w:rsid w:val="00015546"/>
    <w:rsid w:val="000A0E0E"/>
    <w:rsid w:val="000D13A5"/>
    <w:rsid w:val="000D1B33"/>
    <w:rsid w:val="001A19C7"/>
    <w:rsid w:val="00271432"/>
    <w:rsid w:val="00290BA0"/>
    <w:rsid w:val="0038205F"/>
    <w:rsid w:val="003D38DB"/>
    <w:rsid w:val="004D787F"/>
    <w:rsid w:val="00537CAD"/>
    <w:rsid w:val="0056274E"/>
    <w:rsid w:val="005E14E7"/>
    <w:rsid w:val="005E2521"/>
    <w:rsid w:val="0066542C"/>
    <w:rsid w:val="006869FB"/>
    <w:rsid w:val="00741D8A"/>
    <w:rsid w:val="007944FA"/>
    <w:rsid w:val="007A0F93"/>
    <w:rsid w:val="0082047E"/>
    <w:rsid w:val="008F14A7"/>
    <w:rsid w:val="00960EB0"/>
    <w:rsid w:val="009E1A34"/>
    <w:rsid w:val="00A75490"/>
    <w:rsid w:val="00B0673F"/>
    <w:rsid w:val="00B81635"/>
    <w:rsid w:val="00B85B60"/>
    <w:rsid w:val="00BE204F"/>
    <w:rsid w:val="00BE758F"/>
    <w:rsid w:val="00C26020"/>
    <w:rsid w:val="00CB5EE1"/>
    <w:rsid w:val="00CD346E"/>
    <w:rsid w:val="00D55040"/>
    <w:rsid w:val="00E2324C"/>
    <w:rsid w:val="00E32906"/>
    <w:rsid w:val="00EC1CDC"/>
    <w:rsid w:val="00EC4FB4"/>
    <w:rsid w:val="00FA31E1"/>
    <w:rsid w:val="00FB3B4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3695DD-42C6-4B27-95CF-5E2F995A5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B0673F"/>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B0673F"/>
  </w:style>
  <w:style w:type="paragraph" w:styleId="Sidfot">
    <w:name w:val="footer"/>
    <w:basedOn w:val="Normal"/>
    <w:link w:val="SidfotChar"/>
    <w:uiPriority w:val="99"/>
    <w:unhideWhenUsed/>
    <w:rsid w:val="00B0673F"/>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B0673F"/>
  </w:style>
  <w:style w:type="table" w:styleId="Tabellrutnt">
    <w:name w:val="Table Grid"/>
    <w:basedOn w:val="Normaltabell"/>
    <w:uiPriority w:val="39"/>
    <w:rsid w:val="0074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CB5EE1"/>
    <w:pPr>
      <w:ind w:left="720"/>
      <w:contextualSpacing/>
    </w:pPr>
  </w:style>
  <w:style w:type="paragraph" w:styleId="Ballongtext">
    <w:name w:val="Balloon Text"/>
    <w:basedOn w:val="Normal"/>
    <w:link w:val="BallongtextChar"/>
    <w:uiPriority w:val="99"/>
    <w:semiHidden/>
    <w:unhideWhenUsed/>
    <w:rsid w:val="007944FA"/>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7944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384</TotalTime>
  <Pages>7</Pages>
  <Words>1792</Words>
  <Characters>9499</Characters>
  <Application>Microsoft Office Word</Application>
  <DocSecurity>0</DocSecurity>
  <Lines>79</Lines>
  <Paragraphs>22</Paragraphs>
  <ScaleCrop>false</ScaleCrop>
  <HeadingPairs>
    <vt:vector size="2" baseType="variant">
      <vt:variant>
        <vt:lpstr>Rubrik</vt:lpstr>
      </vt:variant>
      <vt:variant>
        <vt:i4>1</vt:i4>
      </vt:variant>
    </vt:vector>
  </HeadingPairs>
  <TitlesOfParts>
    <vt:vector size="1" baseType="lpstr">
      <vt:lpstr/>
    </vt:vector>
  </TitlesOfParts>
  <Company>Svenska kyrkan</Company>
  <LinksUpToDate>false</LinksUpToDate>
  <CharactersWithSpaces>11269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Elmblad</dc:creator>
  <cp:keywords/>
  <dc:description/>
  <cp:lastModifiedBy>Karin Nordin</cp:lastModifiedBy>
  <cp:revision>10</cp:revision>
  <cp:lastPrinted>2020-11-19T09:34:00Z</cp:lastPrinted>
  <dcterms:created xsi:type="dcterms:W3CDTF">2018-10-15T11:07:00Z</dcterms:created>
  <dcterms:modified xsi:type="dcterms:W3CDTF">2020-11-19T10:07:00Z</dcterms:modified>
</cp:coreProperties>
</file>